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CB37F" w14:textId="77777777" w:rsidR="00F85EA9" w:rsidRPr="00DB6BC5" w:rsidRDefault="00F85EA9" w:rsidP="00DB6BC5">
      <w:pPr>
        <w:spacing w:after="0"/>
        <w:jc w:val="center"/>
        <w:rPr>
          <w:rFonts w:ascii="Times New Roman" w:eastAsia="Times New Roman" w:hAnsi="Times New Roman" w:cs="Times New Roman"/>
          <w:color w:val="000000"/>
          <w:sz w:val="24"/>
          <w:szCs w:val="24"/>
          <w:lang w:val="en-GB" w:eastAsia="en-GB"/>
        </w:rPr>
      </w:pPr>
      <w:r w:rsidRPr="00DB6BC5">
        <w:rPr>
          <w:rFonts w:ascii="Times New Roman" w:eastAsia="Times New Roman" w:hAnsi="Times New Roman" w:cs="Times New Roman"/>
          <w:color w:val="000000"/>
          <w:sz w:val="24"/>
          <w:szCs w:val="24"/>
          <w:lang w:val="en-GB" w:eastAsia="en-GB"/>
        </w:rPr>
        <w:t>Road Map for Good Governance for the state institutions in Montenegro</w:t>
      </w:r>
    </w:p>
    <w:p w14:paraId="07CEE263" w14:textId="77777777" w:rsidR="00F85EA9" w:rsidRPr="00DB6BC5" w:rsidRDefault="00F85EA9" w:rsidP="00DB6BC5">
      <w:pPr>
        <w:spacing w:after="0"/>
        <w:jc w:val="center"/>
        <w:rPr>
          <w:rFonts w:ascii="Times New Roman" w:eastAsia="Times New Roman" w:hAnsi="Times New Roman" w:cs="Times New Roman"/>
          <w:color w:val="000000"/>
          <w:sz w:val="24"/>
          <w:szCs w:val="24"/>
          <w:lang w:val="en-GB" w:eastAsia="en-GB"/>
        </w:rPr>
      </w:pPr>
    </w:p>
    <w:p w14:paraId="26CF9BE0" w14:textId="77777777" w:rsidR="00F85EA9" w:rsidRPr="00DB6BC5" w:rsidRDefault="00F85EA9" w:rsidP="00DB6BC5">
      <w:pPr>
        <w:spacing w:after="0"/>
        <w:jc w:val="center"/>
        <w:rPr>
          <w:rFonts w:ascii="Times New Roman" w:eastAsia="Times New Roman" w:hAnsi="Times New Roman" w:cs="Times New Roman"/>
          <w:color w:val="000000"/>
          <w:sz w:val="24"/>
          <w:szCs w:val="24"/>
          <w:lang w:val="en-GB" w:eastAsia="en-GB"/>
        </w:rPr>
      </w:pPr>
      <w:r w:rsidRPr="00DB6BC5">
        <w:rPr>
          <w:rFonts w:ascii="Times New Roman" w:eastAsia="Times New Roman" w:hAnsi="Times New Roman" w:cs="Times New Roman"/>
          <w:color w:val="000000"/>
          <w:sz w:val="24"/>
          <w:szCs w:val="24"/>
          <w:lang w:val="en-GB" w:eastAsia="en-GB"/>
        </w:rPr>
        <w:t>Based on the Regional Index of Openness</w:t>
      </w:r>
    </w:p>
    <w:p w14:paraId="059BA4CA" w14:textId="77777777" w:rsidR="00F85EA9" w:rsidRPr="00DB6BC5" w:rsidRDefault="00F85EA9" w:rsidP="00DB6BC5">
      <w:pPr>
        <w:spacing w:after="0"/>
        <w:jc w:val="both"/>
        <w:rPr>
          <w:rFonts w:ascii="Times New Roman" w:eastAsia="Times New Roman" w:hAnsi="Times New Roman" w:cs="Times New Roman"/>
          <w:color w:val="000000"/>
          <w:sz w:val="24"/>
          <w:szCs w:val="24"/>
          <w:lang w:val="en-GB" w:eastAsia="en-GB"/>
        </w:rPr>
      </w:pPr>
    </w:p>
    <w:p w14:paraId="3F0D86A4" w14:textId="77777777" w:rsidR="00F85EA9" w:rsidRPr="00DB6BC5" w:rsidRDefault="00F85EA9" w:rsidP="00DB6BC5">
      <w:pPr>
        <w:spacing w:after="0"/>
        <w:jc w:val="both"/>
        <w:rPr>
          <w:rFonts w:ascii="Times New Roman" w:eastAsia="Times New Roman" w:hAnsi="Times New Roman" w:cs="Times New Roman"/>
          <w:color w:val="000000"/>
          <w:sz w:val="24"/>
          <w:szCs w:val="24"/>
          <w:lang w:val="en-GB" w:eastAsia="en-GB"/>
        </w:rPr>
      </w:pPr>
    </w:p>
    <w:p w14:paraId="04F31055" w14:textId="77777777" w:rsidR="00F85EA9" w:rsidRPr="00DB6BC5" w:rsidRDefault="00F85EA9" w:rsidP="00DB6BC5">
      <w:pPr>
        <w:spacing w:after="0"/>
        <w:jc w:val="both"/>
        <w:rPr>
          <w:rFonts w:ascii="Times New Roman" w:eastAsia="Times New Roman" w:hAnsi="Times New Roman" w:cs="Times New Roman"/>
          <w:b/>
          <w:color w:val="000000"/>
          <w:sz w:val="24"/>
          <w:szCs w:val="24"/>
          <w:lang w:val="en-GB" w:eastAsia="en-GB"/>
        </w:rPr>
      </w:pPr>
    </w:p>
    <w:p w14:paraId="7BC63CAE" w14:textId="116AFEC2" w:rsidR="00F85EA9" w:rsidRPr="00DB6BC5" w:rsidRDefault="00F85EA9" w:rsidP="00DB6BC5">
      <w:pPr>
        <w:spacing w:after="0"/>
        <w:jc w:val="both"/>
        <w:rPr>
          <w:rFonts w:ascii="Times New Roman" w:eastAsia="Times New Roman" w:hAnsi="Times New Roman" w:cs="Times New Roman"/>
          <w:b/>
          <w:color w:val="000000"/>
          <w:sz w:val="24"/>
          <w:szCs w:val="24"/>
          <w:lang w:val="en-GB" w:eastAsia="en-GB"/>
        </w:rPr>
      </w:pPr>
      <w:r w:rsidRPr="00DB6BC5">
        <w:rPr>
          <w:rFonts w:ascii="Times New Roman" w:eastAsia="Times New Roman" w:hAnsi="Times New Roman" w:cs="Times New Roman"/>
          <w:b/>
          <w:color w:val="000000"/>
          <w:sz w:val="24"/>
          <w:szCs w:val="24"/>
          <w:lang w:val="en-GB" w:eastAsia="en-GB"/>
        </w:rPr>
        <w:t>For Year: 2017</w:t>
      </w:r>
    </w:p>
    <w:p w14:paraId="7C32ED33" w14:textId="77777777" w:rsidR="008A4F0E" w:rsidRPr="00DB6BC5" w:rsidRDefault="008A4F0E" w:rsidP="00DB6BC5">
      <w:pPr>
        <w:spacing w:after="0"/>
        <w:jc w:val="both"/>
        <w:rPr>
          <w:rFonts w:ascii="Times New Roman" w:eastAsia="Times New Roman" w:hAnsi="Times New Roman" w:cs="Times New Roman"/>
          <w:b/>
          <w:color w:val="000000"/>
          <w:sz w:val="24"/>
          <w:szCs w:val="24"/>
          <w:lang w:val="sr-Latn-ME" w:eastAsia="en-GB"/>
        </w:rPr>
      </w:pPr>
    </w:p>
    <w:p w14:paraId="201F684C" w14:textId="447CC12B" w:rsidR="008A4F0E" w:rsidRPr="00DB6BC5" w:rsidRDefault="0000353B" w:rsidP="00DB6BC5">
      <w:pPr>
        <w:spacing w:after="0"/>
        <w:jc w:val="both"/>
        <w:rPr>
          <w:rFonts w:ascii="Times New Roman" w:eastAsia="Times New Roman" w:hAnsi="Times New Roman" w:cs="Times New Roman"/>
          <w:b/>
          <w:color w:val="000000"/>
          <w:sz w:val="24"/>
          <w:szCs w:val="24"/>
          <w:lang w:val="en-US" w:eastAsia="en-GB"/>
        </w:rPr>
      </w:pPr>
      <w:r w:rsidRPr="00DB6BC5">
        <w:rPr>
          <w:rFonts w:ascii="Times New Roman" w:eastAsia="Times New Roman" w:hAnsi="Times New Roman" w:cs="Times New Roman"/>
          <w:b/>
          <w:color w:val="000000"/>
          <w:sz w:val="24"/>
          <w:szCs w:val="24"/>
          <w:lang w:val="en-US" w:eastAsia="en-GB"/>
        </w:rPr>
        <w:t>GENERAL INFORMATION</w:t>
      </w:r>
    </w:p>
    <w:p w14:paraId="777C9A4C" w14:textId="5B991D80" w:rsidR="00F85EA9" w:rsidRPr="00DB6BC5" w:rsidRDefault="00F85EA9" w:rsidP="00DB6BC5">
      <w:pPr>
        <w:spacing w:after="0"/>
        <w:jc w:val="both"/>
        <w:rPr>
          <w:rFonts w:ascii="Times New Roman" w:eastAsia="Times New Roman" w:hAnsi="Times New Roman" w:cs="Times New Roman"/>
          <w:sz w:val="24"/>
          <w:szCs w:val="24"/>
          <w:lang w:val="en-GB" w:eastAsia="en-GB"/>
        </w:rPr>
      </w:pPr>
      <w:r w:rsidRPr="00DB6BC5">
        <w:rPr>
          <w:rFonts w:ascii="Times New Roman" w:eastAsia="Times New Roman" w:hAnsi="Times New Roman" w:cs="Times New Roman"/>
          <w:sz w:val="24"/>
          <w:szCs w:val="24"/>
          <w:lang w:val="en-GB" w:eastAsia="en-GB"/>
        </w:rPr>
        <w:t>Openness represents a key precondition for democracy - since it allows citizens to</w:t>
      </w:r>
      <w:r w:rsidRPr="00DB6BC5">
        <w:rPr>
          <w:rFonts w:ascii="Times New Roman" w:eastAsia="Times New Roman" w:hAnsi="Times New Roman" w:cs="Times New Roman"/>
          <w:sz w:val="24"/>
          <w:szCs w:val="24"/>
          <w:lang w:eastAsia="en-GB"/>
        </w:rPr>
        <w:t xml:space="preserve"> </w:t>
      </w:r>
      <w:r w:rsidRPr="00DB6BC5">
        <w:rPr>
          <w:rFonts w:ascii="Times New Roman" w:eastAsia="Times New Roman" w:hAnsi="Times New Roman" w:cs="Times New Roman"/>
          <w:sz w:val="24"/>
          <w:szCs w:val="24"/>
          <w:lang w:val="en-GB" w:eastAsia="en-GB"/>
        </w:rPr>
        <w:t>receive information and knowledge, necessary for an equal participation in</w:t>
      </w:r>
      <w:r w:rsidRPr="00DB6BC5">
        <w:rPr>
          <w:rFonts w:ascii="Times New Roman" w:eastAsia="Times New Roman" w:hAnsi="Times New Roman" w:cs="Times New Roman"/>
          <w:sz w:val="24"/>
          <w:szCs w:val="24"/>
          <w:lang w:eastAsia="en-GB"/>
        </w:rPr>
        <w:t xml:space="preserve"> </w:t>
      </w:r>
      <w:r w:rsidRPr="00DB6BC5">
        <w:rPr>
          <w:rFonts w:ascii="Times New Roman" w:eastAsia="Times New Roman" w:hAnsi="Times New Roman" w:cs="Times New Roman"/>
          <w:sz w:val="24"/>
          <w:szCs w:val="24"/>
          <w:lang w:val="en-GB" w:eastAsia="en-GB"/>
        </w:rPr>
        <w:t>political life, effective decision-making and holding institutions accountable for</w:t>
      </w:r>
      <w:r w:rsidRPr="00DB6BC5">
        <w:rPr>
          <w:rFonts w:ascii="Times New Roman" w:eastAsia="Times New Roman" w:hAnsi="Times New Roman" w:cs="Times New Roman"/>
          <w:sz w:val="24"/>
          <w:szCs w:val="24"/>
          <w:lang w:eastAsia="en-GB"/>
        </w:rPr>
        <w:t xml:space="preserve"> </w:t>
      </w:r>
      <w:r w:rsidRPr="00DB6BC5">
        <w:rPr>
          <w:rFonts w:ascii="Times New Roman" w:eastAsia="Times New Roman" w:hAnsi="Times New Roman" w:cs="Times New Roman"/>
          <w:sz w:val="24"/>
          <w:szCs w:val="24"/>
          <w:lang w:val="en-GB" w:eastAsia="en-GB"/>
        </w:rPr>
        <w:t>policies which they conduct. Around the world institutions undertake specific activities with the aim to</w:t>
      </w:r>
      <w:r w:rsidRPr="00DB6BC5">
        <w:rPr>
          <w:rFonts w:ascii="Times New Roman" w:eastAsia="Times New Roman" w:hAnsi="Times New Roman" w:cs="Times New Roman"/>
          <w:sz w:val="24"/>
          <w:szCs w:val="24"/>
          <w:lang w:eastAsia="en-GB"/>
        </w:rPr>
        <w:t xml:space="preserve"> </w:t>
      </w:r>
      <w:r w:rsidRPr="00DB6BC5">
        <w:rPr>
          <w:rFonts w:ascii="Times New Roman" w:eastAsia="Times New Roman" w:hAnsi="Times New Roman" w:cs="Times New Roman"/>
          <w:sz w:val="24"/>
          <w:szCs w:val="24"/>
          <w:lang w:val="en-GB" w:eastAsia="en-GB"/>
        </w:rPr>
        <w:t xml:space="preserve">increasing their transparency and accountability to citizens. </w:t>
      </w:r>
    </w:p>
    <w:p w14:paraId="02385524" w14:textId="77777777" w:rsidR="00F85EA9" w:rsidRPr="00DB6BC5" w:rsidRDefault="00F85EA9" w:rsidP="00DB6BC5">
      <w:pPr>
        <w:spacing w:after="0"/>
        <w:jc w:val="both"/>
        <w:rPr>
          <w:rFonts w:ascii="Times New Roman" w:hAnsi="Times New Roman" w:cs="Times New Roman"/>
          <w:sz w:val="24"/>
          <w:szCs w:val="24"/>
          <w:lang w:val="en-US"/>
        </w:rPr>
      </w:pPr>
    </w:p>
    <w:p w14:paraId="4626FF8C" w14:textId="77777777" w:rsidR="00F85EA9" w:rsidRPr="00DB6BC5" w:rsidRDefault="00F85EA9" w:rsidP="00DB6BC5">
      <w:pPr>
        <w:spacing w:after="0"/>
        <w:jc w:val="both"/>
        <w:rPr>
          <w:rFonts w:ascii="Times New Roman" w:eastAsia="Times New Roman" w:hAnsi="Times New Roman" w:cs="Times New Roman"/>
          <w:sz w:val="24"/>
          <w:szCs w:val="24"/>
          <w:lang w:val="en-GB" w:eastAsia="en-GB"/>
        </w:rPr>
      </w:pPr>
      <w:r w:rsidRPr="00DB6BC5">
        <w:rPr>
          <w:rFonts w:ascii="Times New Roman" w:hAnsi="Times New Roman" w:cs="Times New Roman"/>
          <w:sz w:val="24"/>
          <w:szCs w:val="24"/>
          <w:lang w:val="en-US"/>
        </w:rPr>
        <w:t xml:space="preserve">Open government is based on four organizational principles: transparency, accessibility, integrity and awareness. These principles apply to all branches and levels of government, from the central </w:t>
      </w:r>
      <w:proofErr w:type="gramStart"/>
      <w:r w:rsidRPr="00DB6BC5">
        <w:rPr>
          <w:rFonts w:ascii="Times New Roman" w:hAnsi="Times New Roman" w:cs="Times New Roman"/>
          <w:sz w:val="24"/>
          <w:szCs w:val="24"/>
          <w:lang w:val="en-US"/>
        </w:rPr>
        <w:t>executive</w:t>
      </w:r>
      <w:proofErr w:type="gramEnd"/>
      <w:r w:rsidRPr="00DB6BC5">
        <w:rPr>
          <w:rFonts w:ascii="Times New Roman" w:hAnsi="Times New Roman" w:cs="Times New Roman"/>
          <w:sz w:val="24"/>
          <w:szCs w:val="24"/>
          <w:lang w:val="en-US"/>
        </w:rPr>
        <w:t xml:space="preserve"> to local self-government, parliament and the judicial system.</w:t>
      </w:r>
      <w:r w:rsidRPr="00DB6BC5">
        <w:rPr>
          <w:rFonts w:ascii="Times New Roman" w:eastAsia="Times New Roman" w:hAnsi="Times New Roman" w:cs="Times New Roman"/>
          <w:sz w:val="24"/>
          <w:szCs w:val="24"/>
          <w:lang w:val="en-GB" w:eastAsia="en-GB"/>
        </w:rPr>
        <w:t xml:space="preserve"> </w:t>
      </w:r>
    </w:p>
    <w:p w14:paraId="612683EA" w14:textId="77777777" w:rsidR="00F85EA9" w:rsidRPr="00DB6BC5" w:rsidRDefault="00F85EA9" w:rsidP="00DB6BC5">
      <w:pPr>
        <w:spacing w:after="0"/>
        <w:jc w:val="both"/>
        <w:rPr>
          <w:rFonts w:ascii="Times New Roman" w:eastAsia="Times New Roman" w:hAnsi="Times New Roman" w:cs="Times New Roman"/>
          <w:sz w:val="24"/>
          <w:szCs w:val="24"/>
          <w:lang w:val="en-GB" w:eastAsia="en-GB"/>
        </w:rPr>
      </w:pPr>
    </w:p>
    <w:p w14:paraId="1D9F81A0" w14:textId="77777777" w:rsidR="00F85EA9" w:rsidRPr="00DB6BC5" w:rsidRDefault="00F85EA9" w:rsidP="00DB6BC5">
      <w:pPr>
        <w:spacing w:after="0"/>
        <w:jc w:val="both"/>
        <w:rPr>
          <w:rFonts w:ascii="Times New Roman" w:eastAsia="Times New Roman" w:hAnsi="Times New Roman" w:cs="Times New Roman"/>
          <w:sz w:val="24"/>
          <w:szCs w:val="24"/>
          <w:lang w:val="en-GB" w:eastAsia="en-GB"/>
        </w:rPr>
      </w:pPr>
      <w:r w:rsidRPr="00DB6BC5">
        <w:rPr>
          <w:rFonts w:ascii="Times New Roman" w:hAnsi="Times New Roman" w:cs="Times New Roman"/>
          <w:sz w:val="24"/>
          <w:szCs w:val="24"/>
          <w:lang w:val="en-US"/>
        </w:rPr>
        <w:t xml:space="preserve">The Index of Openness is a composite indicator that measures the degree to which governments in the Western Balkan countries are open to citizens and society and is designed in order to </w:t>
      </w:r>
      <w:r w:rsidRPr="00DB6BC5">
        <w:rPr>
          <w:rFonts w:ascii="Times New Roman" w:eastAsia="Times New Roman" w:hAnsi="Times New Roman" w:cs="Times New Roman"/>
          <w:sz w:val="24"/>
          <w:szCs w:val="24"/>
          <w:lang w:val="en-GB" w:eastAsia="en-GB"/>
        </w:rPr>
        <w:t>define to which degree</w:t>
      </w:r>
      <w:r w:rsidRPr="00DB6BC5">
        <w:rPr>
          <w:rFonts w:ascii="Times New Roman" w:eastAsia="Times New Roman" w:hAnsi="Times New Roman" w:cs="Times New Roman"/>
          <w:sz w:val="24"/>
          <w:szCs w:val="24"/>
          <w:lang w:eastAsia="en-GB"/>
        </w:rPr>
        <w:t xml:space="preserve"> </w:t>
      </w:r>
      <w:r w:rsidRPr="00DB6BC5">
        <w:rPr>
          <w:rFonts w:ascii="Times New Roman" w:eastAsia="Times New Roman" w:hAnsi="Times New Roman" w:cs="Times New Roman"/>
          <w:sz w:val="24"/>
          <w:szCs w:val="24"/>
          <w:lang w:val="en-GB" w:eastAsia="en-GB"/>
        </w:rPr>
        <w:t>citizens of the Western Balkans receive opportune and understandable</w:t>
      </w:r>
      <w:r w:rsidRPr="00DB6BC5">
        <w:rPr>
          <w:rFonts w:ascii="Times New Roman" w:eastAsia="Times New Roman" w:hAnsi="Times New Roman" w:cs="Times New Roman"/>
          <w:sz w:val="24"/>
          <w:szCs w:val="24"/>
          <w:lang w:eastAsia="en-GB"/>
        </w:rPr>
        <w:t xml:space="preserve"> </w:t>
      </w:r>
      <w:r w:rsidRPr="00DB6BC5">
        <w:rPr>
          <w:rFonts w:ascii="Times New Roman" w:eastAsia="Times New Roman" w:hAnsi="Times New Roman" w:cs="Times New Roman"/>
          <w:sz w:val="24"/>
          <w:szCs w:val="24"/>
          <w:lang w:val="en-GB" w:eastAsia="en-GB"/>
        </w:rPr>
        <w:t xml:space="preserve">information from their institutions. </w:t>
      </w:r>
    </w:p>
    <w:p w14:paraId="4046540B" w14:textId="77777777" w:rsidR="00A77701" w:rsidRPr="00DB6BC5" w:rsidRDefault="00A77701" w:rsidP="00DB6BC5">
      <w:pPr>
        <w:spacing w:after="0"/>
        <w:jc w:val="both"/>
        <w:rPr>
          <w:rFonts w:ascii="Times New Roman" w:hAnsi="Times New Roman" w:cs="Times New Roman"/>
          <w:sz w:val="24"/>
          <w:szCs w:val="24"/>
          <w:lang w:val="en-US"/>
        </w:rPr>
      </w:pPr>
    </w:p>
    <w:p w14:paraId="2E027795" w14:textId="77777777" w:rsidR="00F85EA9" w:rsidRPr="00DB6BC5" w:rsidRDefault="00F85EA9" w:rsidP="00DB6BC5">
      <w:pPr>
        <w:spacing w:after="0"/>
        <w:jc w:val="both"/>
        <w:rPr>
          <w:rFonts w:ascii="Times New Roman" w:eastAsia="Times New Roman" w:hAnsi="Times New Roman" w:cs="Times New Roman"/>
          <w:sz w:val="24"/>
          <w:szCs w:val="24"/>
          <w:lang w:val="en-GB" w:eastAsia="en-GB"/>
        </w:rPr>
      </w:pPr>
      <w:r w:rsidRPr="00DB6BC5">
        <w:rPr>
          <w:rFonts w:ascii="Times New Roman" w:hAnsi="Times New Roman" w:cs="Times New Roman"/>
          <w:sz w:val="24"/>
          <w:szCs w:val="24"/>
          <w:lang w:val="en-US"/>
        </w:rPr>
        <w:t xml:space="preserve">In order to measure the degree of institutional openness, ACTION SEE partners </w:t>
      </w:r>
      <w:r w:rsidRPr="00DB6BC5">
        <w:rPr>
          <w:rFonts w:ascii="Times New Roman" w:eastAsia="Times New Roman" w:hAnsi="Times New Roman" w:cs="Times New Roman"/>
          <w:sz w:val="24"/>
          <w:szCs w:val="24"/>
          <w:lang w:val="en-GB" w:eastAsia="en-GB"/>
        </w:rPr>
        <w:t>following international standards, recommendations as well as examples of good</w:t>
      </w:r>
      <w:r w:rsidRPr="00DB6BC5">
        <w:rPr>
          <w:rFonts w:ascii="Times New Roman" w:eastAsia="Times New Roman" w:hAnsi="Times New Roman" w:cs="Times New Roman"/>
          <w:sz w:val="24"/>
          <w:szCs w:val="24"/>
          <w:lang w:eastAsia="en-GB"/>
        </w:rPr>
        <w:t xml:space="preserve"> </w:t>
      </w:r>
      <w:r w:rsidRPr="00DB6BC5">
        <w:rPr>
          <w:rFonts w:ascii="Times New Roman" w:eastAsia="Times New Roman" w:hAnsi="Times New Roman" w:cs="Times New Roman"/>
          <w:sz w:val="24"/>
          <w:szCs w:val="24"/>
          <w:lang w:val="en-GB" w:eastAsia="en-GB"/>
        </w:rPr>
        <w:t>practice, assessed institutions through special quantitative and</w:t>
      </w:r>
      <w:r w:rsidRPr="00DB6BC5">
        <w:rPr>
          <w:rFonts w:ascii="Times New Roman" w:eastAsia="Times New Roman" w:hAnsi="Times New Roman" w:cs="Times New Roman"/>
          <w:sz w:val="24"/>
          <w:szCs w:val="24"/>
          <w:lang w:eastAsia="en-GB"/>
        </w:rPr>
        <w:t xml:space="preserve"> </w:t>
      </w:r>
      <w:r w:rsidRPr="00DB6BC5">
        <w:rPr>
          <w:rFonts w:ascii="Times New Roman" w:eastAsia="Times New Roman" w:hAnsi="Times New Roman" w:cs="Times New Roman"/>
          <w:sz w:val="24"/>
          <w:szCs w:val="24"/>
          <w:lang w:val="en-GB" w:eastAsia="en-GB"/>
        </w:rPr>
        <w:t>qualitative indicators, which evaluate institutions on the basis of: accessibility of</w:t>
      </w:r>
      <w:r w:rsidRPr="00DB6BC5">
        <w:rPr>
          <w:rFonts w:ascii="Times New Roman" w:eastAsia="Times New Roman" w:hAnsi="Times New Roman" w:cs="Times New Roman"/>
          <w:sz w:val="24"/>
          <w:szCs w:val="24"/>
          <w:lang w:eastAsia="en-GB"/>
        </w:rPr>
        <w:t xml:space="preserve"> </w:t>
      </w:r>
      <w:r w:rsidRPr="00DB6BC5">
        <w:rPr>
          <w:rFonts w:ascii="Times New Roman" w:eastAsia="Times New Roman" w:hAnsi="Times New Roman" w:cs="Times New Roman"/>
          <w:sz w:val="24"/>
          <w:szCs w:val="24"/>
          <w:lang w:val="en-GB" w:eastAsia="en-GB"/>
        </w:rPr>
        <w:t>information on the official websites of institutions, quality of a legal framework</w:t>
      </w:r>
      <w:r w:rsidRPr="00DB6BC5">
        <w:rPr>
          <w:rFonts w:ascii="Times New Roman" w:eastAsia="Times New Roman" w:hAnsi="Times New Roman" w:cs="Times New Roman"/>
          <w:sz w:val="24"/>
          <w:szCs w:val="24"/>
          <w:lang w:eastAsia="en-GB"/>
        </w:rPr>
        <w:t xml:space="preserve"> </w:t>
      </w:r>
      <w:r w:rsidRPr="00DB6BC5">
        <w:rPr>
          <w:rFonts w:ascii="Times New Roman" w:eastAsia="Times New Roman" w:hAnsi="Times New Roman" w:cs="Times New Roman"/>
          <w:sz w:val="24"/>
          <w:szCs w:val="24"/>
          <w:lang w:val="en-GB" w:eastAsia="en-GB"/>
        </w:rPr>
        <w:t>for individual issues, other sources of public informing and questionnaires</w:t>
      </w:r>
      <w:r w:rsidRPr="00DB6BC5">
        <w:rPr>
          <w:rFonts w:ascii="Times New Roman" w:eastAsia="Times New Roman" w:hAnsi="Times New Roman" w:cs="Times New Roman"/>
          <w:sz w:val="24"/>
          <w:szCs w:val="24"/>
          <w:lang w:eastAsia="en-GB"/>
        </w:rPr>
        <w:t xml:space="preserve"> </w:t>
      </w:r>
      <w:r w:rsidRPr="00DB6BC5">
        <w:rPr>
          <w:rFonts w:ascii="Times New Roman" w:eastAsia="Times New Roman" w:hAnsi="Times New Roman" w:cs="Times New Roman"/>
          <w:sz w:val="24"/>
          <w:szCs w:val="24"/>
          <w:lang w:val="en-GB" w:eastAsia="en-GB"/>
        </w:rPr>
        <w:t>delivered to institutions.</w:t>
      </w:r>
    </w:p>
    <w:p w14:paraId="7363C778" w14:textId="77777777" w:rsidR="00A77701" w:rsidRPr="00DB6BC5" w:rsidRDefault="00A77701" w:rsidP="00DB6BC5">
      <w:pPr>
        <w:spacing w:after="0"/>
        <w:jc w:val="both"/>
        <w:rPr>
          <w:rFonts w:ascii="Times New Roman" w:hAnsi="Times New Roman" w:cs="Times New Roman"/>
          <w:sz w:val="24"/>
          <w:szCs w:val="24"/>
          <w:lang w:val="en-US"/>
        </w:rPr>
      </w:pPr>
    </w:p>
    <w:p w14:paraId="55E84D64" w14:textId="77777777" w:rsidR="00A77701" w:rsidRPr="00DB6BC5" w:rsidRDefault="00A77701" w:rsidP="00DB6BC5">
      <w:pPr>
        <w:spacing w:after="0"/>
        <w:jc w:val="both"/>
        <w:rPr>
          <w:rFonts w:ascii="Times New Roman" w:eastAsia="Times New Roman" w:hAnsi="Times New Roman" w:cs="Times New Roman"/>
          <w:sz w:val="24"/>
          <w:szCs w:val="24"/>
          <w:lang w:val="en-GB" w:eastAsia="en-GB"/>
        </w:rPr>
      </w:pPr>
      <w:r w:rsidRPr="00DB6BC5">
        <w:rPr>
          <w:rFonts w:ascii="Times New Roman" w:eastAsia="Times New Roman" w:hAnsi="Times New Roman" w:cs="Times New Roman"/>
          <w:sz w:val="24"/>
          <w:szCs w:val="24"/>
          <w:lang w:val="en-GB" w:eastAsia="en-GB"/>
        </w:rPr>
        <w:t xml:space="preserve">The responsiveness of institutions to the questionnaires was an additional indicator for their openness. A lot of institutions got negative scores on indicators due to their non-responsiveness, which is also important to mention for two reasons: first, that institutional responsiveness is an indicator for openness itself, and second that institution’s non responsiveness has affected their </w:t>
      </w:r>
      <w:bookmarkStart w:id="0" w:name="_GoBack"/>
      <w:bookmarkEnd w:id="0"/>
      <w:r w:rsidRPr="00DB6BC5">
        <w:rPr>
          <w:rFonts w:ascii="Times New Roman" w:eastAsia="Times New Roman" w:hAnsi="Times New Roman" w:cs="Times New Roman"/>
          <w:sz w:val="24"/>
          <w:szCs w:val="24"/>
          <w:lang w:val="en-GB" w:eastAsia="en-GB"/>
        </w:rPr>
        <w:t xml:space="preserve">index scores negatively, because they were automatically graded as 0. Additionally, some of the indicators could’ve been graded positively if only the existing laws were implemented.   </w:t>
      </w:r>
    </w:p>
    <w:p w14:paraId="4BEDC67A" w14:textId="77777777" w:rsidR="00A77701" w:rsidRPr="00DB6BC5" w:rsidRDefault="00A77701" w:rsidP="00DB6BC5">
      <w:pPr>
        <w:spacing w:after="0"/>
        <w:jc w:val="both"/>
        <w:rPr>
          <w:rFonts w:ascii="Times New Roman" w:eastAsia="Times New Roman" w:hAnsi="Times New Roman" w:cs="Times New Roman"/>
          <w:sz w:val="24"/>
          <w:szCs w:val="24"/>
          <w:lang w:val="en-GB" w:eastAsia="en-GB"/>
        </w:rPr>
      </w:pPr>
    </w:p>
    <w:p w14:paraId="7BE4054B" w14:textId="77777777" w:rsidR="00A77701" w:rsidRPr="00DB6BC5" w:rsidRDefault="00A77701" w:rsidP="00DB6BC5">
      <w:pPr>
        <w:spacing w:after="0"/>
        <w:jc w:val="both"/>
        <w:rPr>
          <w:rFonts w:ascii="Times New Roman" w:eastAsia="Times New Roman" w:hAnsi="Times New Roman" w:cs="Times New Roman"/>
          <w:sz w:val="24"/>
          <w:szCs w:val="24"/>
          <w:lang w:val="en-GB" w:eastAsia="en-GB"/>
        </w:rPr>
      </w:pPr>
      <w:r w:rsidRPr="00DB6BC5">
        <w:rPr>
          <w:rFonts w:ascii="Times New Roman" w:eastAsia="Times New Roman" w:hAnsi="Times New Roman" w:cs="Times New Roman"/>
          <w:sz w:val="24"/>
          <w:szCs w:val="24"/>
          <w:lang w:val="en-GB" w:eastAsia="en-GB"/>
        </w:rPr>
        <w:lastRenderedPageBreak/>
        <w:t>The research was conducted in the period from December 2017 to the end of</w:t>
      </w:r>
      <w:r w:rsidRPr="00DB6BC5">
        <w:rPr>
          <w:rFonts w:ascii="Times New Roman" w:eastAsia="Times New Roman" w:hAnsi="Times New Roman" w:cs="Times New Roman"/>
          <w:sz w:val="24"/>
          <w:szCs w:val="24"/>
          <w:lang w:eastAsia="en-GB"/>
        </w:rPr>
        <w:t xml:space="preserve"> </w:t>
      </w:r>
      <w:r w:rsidRPr="00DB6BC5">
        <w:rPr>
          <w:rFonts w:ascii="Times New Roman" w:eastAsia="Times New Roman" w:hAnsi="Times New Roman" w:cs="Times New Roman"/>
          <w:sz w:val="24"/>
          <w:szCs w:val="24"/>
          <w:lang w:val="en-GB" w:eastAsia="en-GB"/>
        </w:rPr>
        <w:t>March 2018. Based on monitoring data and findings, a set of recommendations and guidelines directed towards</w:t>
      </w:r>
      <w:r w:rsidRPr="00DB6BC5">
        <w:rPr>
          <w:rFonts w:ascii="Times New Roman" w:eastAsia="Times New Roman" w:hAnsi="Times New Roman" w:cs="Times New Roman"/>
          <w:sz w:val="24"/>
          <w:szCs w:val="24"/>
          <w:lang w:eastAsia="en-GB"/>
        </w:rPr>
        <w:t xml:space="preserve"> </w:t>
      </w:r>
      <w:r w:rsidRPr="00DB6BC5">
        <w:rPr>
          <w:rFonts w:ascii="Times New Roman" w:eastAsia="Times New Roman" w:hAnsi="Times New Roman" w:cs="Times New Roman"/>
          <w:sz w:val="24"/>
          <w:szCs w:val="24"/>
          <w:lang w:val="en-GB" w:eastAsia="en-GB"/>
        </w:rPr>
        <w:t xml:space="preserve">institutions was developed on the basis of research results. Recommended steps for each category of institutions are done on the basis of indicators that were not entirely fulfilled. Additionally, since some of the categories of institutions were sampled, i.e. executive agencies, local self-governments, courts and prosecutions, for these institutions the recommendations and action steps are general for the whole group of institutions.  </w:t>
      </w:r>
    </w:p>
    <w:p w14:paraId="4D68C496" w14:textId="77777777" w:rsidR="00F85EA9" w:rsidRPr="00DB6BC5" w:rsidRDefault="00F85EA9" w:rsidP="00DB6BC5">
      <w:pPr>
        <w:spacing w:after="0"/>
        <w:jc w:val="both"/>
        <w:rPr>
          <w:rFonts w:ascii="Times New Roman" w:eastAsia="Times New Roman" w:hAnsi="Times New Roman" w:cs="Times New Roman"/>
          <w:sz w:val="24"/>
          <w:szCs w:val="24"/>
          <w:lang w:val="en-GB" w:eastAsia="en-GB"/>
        </w:rPr>
      </w:pPr>
    </w:p>
    <w:p w14:paraId="21AD2898" w14:textId="529F0C30" w:rsidR="00FD4372" w:rsidRDefault="00F85EA9" w:rsidP="00DB6BC5">
      <w:pPr>
        <w:spacing w:after="120"/>
        <w:jc w:val="both"/>
        <w:rPr>
          <w:rFonts w:ascii="Times New Roman" w:eastAsia="Times New Roman" w:hAnsi="Times New Roman" w:cs="Times New Roman"/>
          <w:sz w:val="24"/>
          <w:szCs w:val="24"/>
          <w:lang w:val="en-GB" w:eastAsia="en-GB"/>
        </w:rPr>
      </w:pPr>
      <w:r w:rsidRPr="00DB6BC5">
        <w:rPr>
          <w:rFonts w:ascii="Times New Roman" w:eastAsia="Times New Roman" w:hAnsi="Times New Roman" w:cs="Times New Roman"/>
          <w:sz w:val="24"/>
          <w:szCs w:val="24"/>
          <w:lang w:val="en-GB" w:eastAsia="en-GB"/>
        </w:rPr>
        <w:t xml:space="preserve">Readers can find methodology and general project information at the end of this document. </w:t>
      </w:r>
    </w:p>
    <w:p w14:paraId="6EA66E9B" w14:textId="77777777" w:rsidR="00DB6BC5" w:rsidRPr="00DB6BC5" w:rsidRDefault="00DB6BC5" w:rsidP="00DB6BC5">
      <w:pPr>
        <w:spacing w:after="120"/>
        <w:jc w:val="both"/>
        <w:rPr>
          <w:rFonts w:ascii="Times New Roman" w:eastAsia="Times New Roman" w:hAnsi="Times New Roman" w:cs="Times New Roman"/>
          <w:sz w:val="24"/>
          <w:szCs w:val="24"/>
          <w:lang w:val="en-GB" w:eastAsia="en-GB"/>
        </w:rPr>
      </w:pPr>
    </w:p>
    <w:p w14:paraId="0DA9FE1C" w14:textId="77777777" w:rsidR="00F85EA9" w:rsidRPr="00DB6BC5" w:rsidRDefault="00F85EA9" w:rsidP="00DB6BC5">
      <w:pPr>
        <w:pStyle w:val="ListParagraph"/>
        <w:numPr>
          <w:ilvl w:val="0"/>
          <w:numId w:val="1"/>
        </w:numPr>
        <w:spacing w:after="0"/>
        <w:jc w:val="both"/>
        <w:rPr>
          <w:rFonts w:ascii="Times New Roman" w:eastAsia="Times New Roman" w:hAnsi="Times New Roman" w:cs="Times New Roman"/>
          <w:b/>
          <w:color w:val="000000"/>
          <w:sz w:val="24"/>
          <w:szCs w:val="24"/>
          <w:lang w:val="en-GB" w:eastAsia="en-GB"/>
        </w:rPr>
      </w:pPr>
      <w:r w:rsidRPr="00DB6BC5">
        <w:rPr>
          <w:rFonts w:ascii="Times New Roman" w:eastAsia="Times New Roman" w:hAnsi="Times New Roman" w:cs="Times New Roman"/>
          <w:b/>
          <w:color w:val="000000"/>
          <w:sz w:val="24"/>
          <w:szCs w:val="24"/>
          <w:lang w:val="en-GB" w:eastAsia="en-GB"/>
        </w:rPr>
        <w:t>STATE INSTITUTIONS</w:t>
      </w:r>
    </w:p>
    <w:p w14:paraId="4D86231B" w14:textId="77777777" w:rsidR="00F85EA9" w:rsidRPr="00DB6BC5" w:rsidRDefault="00F85EA9" w:rsidP="00DB6BC5">
      <w:pPr>
        <w:spacing w:after="0"/>
        <w:jc w:val="both"/>
        <w:rPr>
          <w:rFonts w:ascii="Times New Roman" w:eastAsia="Times New Roman" w:hAnsi="Times New Roman" w:cs="Times New Roman"/>
          <w:color w:val="000000"/>
          <w:sz w:val="24"/>
          <w:szCs w:val="24"/>
          <w:lang w:val="en-GB" w:eastAsia="en-GB"/>
        </w:rPr>
      </w:pPr>
    </w:p>
    <w:p w14:paraId="2DFD9FB9" w14:textId="77777777" w:rsidR="00F85EA9" w:rsidRPr="00DB6BC5" w:rsidRDefault="00F85EA9" w:rsidP="00DB6BC5">
      <w:pPr>
        <w:pStyle w:val="ListParagraph"/>
        <w:numPr>
          <w:ilvl w:val="1"/>
          <w:numId w:val="1"/>
        </w:numPr>
        <w:spacing w:after="0"/>
        <w:jc w:val="both"/>
        <w:rPr>
          <w:rFonts w:ascii="Times New Roman" w:eastAsia="Times New Roman" w:hAnsi="Times New Roman" w:cs="Times New Roman"/>
          <w:b/>
          <w:color w:val="000000"/>
          <w:sz w:val="24"/>
          <w:szCs w:val="24"/>
          <w:lang w:val="en-GB" w:eastAsia="en-GB"/>
        </w:rPr>
      </w:pPr>
      <w:r w:rsidRPr="00DB6BC5">
        <w:rPr>
          <w:rFonts w:ascii="Times New Roman" w:eastAsia="Times New Roman" w:hAnsi="Times New Roman" w:cs="Times New Roman"/>
          <w:b/>
          <w:color w:val="000000"/>
          <w:sz w:val="24"/>
          <w:szCs w:val="24"/>
          <w:lang w:val="en-GB" w:eastAsia="en-GB"/>
        </w:rPr>
        <w:t xml:space="preserve"> CORE EXECUTIVE</w:t>
      </w:r>
    </w:p>
    <w:p w14:paraId="75E538AC" w14:textId="77777777" w:rsidR="00F85EA9" w:rsidRPr="00DB6BC5" w:rsidRDefault="00F85EA9" w:rsidP="00DB6BC5">
      <w:pPr>
        <w:pStyle w:val="ListParagraph"/>
        <w:spacing w:after="0"/>
        <w:jc w:val="both"/>
        <w:rPr>
          <w:rFonts w:ascii="Times New Roman" w:eastAsia="Times New Roman" w:hAnsi="Times New Roman" w:cs="Times New Roman"/>
          <w:color w:val="000000"/>
          <w:sz w:val="24"/>
          <w:szCs w:val="24"/>
          <w:lang w:val="en-GB" w:eastAsia="en-GB"/>
        </w:rPr>
      </w:pPr>
    </w:p>
    <w:p w14:paraId="75BC0EB9" w14:textId="77777777" w:rsidR="00F85EA9" w:rsidRPr="00DB6BC5" w:rsidRDefault="00F85EA9" w:rsidP="00DB6BC5">
      <w:pPr>
        <w:pStyle w:val="ListParagraph"/>
        <w:numPr>
          <w:ilvl w:val="2"/>
          <w:numId w:val="1"/>
        </w:numPr>
        <w:spacing w:after="0"/>
        <w:jc w:val="both"/>
        <w:rPr>
          <w:rFonts w:ascii="Times New Roman" w:eastAsia="Times New Roman" w:hAnsi="Times New Roman" w:cs="Times New Roman"/>
          <w:color w:val="000000"/>
          <w:sz w:val="24"/>
          <w:szCs w:val="24"/>
          <w:lang w:val="en-GB" w:eastAsia="en-GB"/>
        </w:rPr>
      </w:pPr>
      <w:r w:rsidRPr="00DB6BC5">
        <w:rPr>
          <w:rFonts w:ascii="Times New Roman" w:eastAsia="Times New Roman" w:hAnsi="Times New Roman" w:cs="Times New Roman"/>
          <w:color w:val="000000"/>
          <w:sz w:val="24"/>
          <w:szCs w:val="24"/>
          <w:lang w:val="en-GB" w:eastAsia="en-GB"/>
        </w:rPr>
        <w:t>GENERAL CONCLUSIONS</w:t>
      </w:r>
    </w:p>
    <w:p w14:paraId="13FA205B" w14:textId="77777777" w:rsidR="00D24120" w:rsidRPr="00DB6BC5" w:rsidRDefault="00D24120" w:rsidP="00DB6BC5">
      <w:pPr>
        <w:spacing w:after="0"/>
        <w:jc w:val="both"/>
        <w:rPr>
          <w:rFonts w:ascii="Times New Roman" w:eastAsia="Times New Roman" w:hAnsi="Times New Roman" w:cs="Times New Roman"/>
          <w:color w:val="000000"/>
          <w:sz w:val="24"/>
          <w:szCs w:val="24"/>
          <w:lang w:val="sr-Latn-ME" w:eastAsia="en-GB"/>
        </w:rPr>
      </w:pPr>
    </w:p>
    <w:p w14:paraId="0C6A789C" w14:textId="77777777" w:rsidR="00F85EA9" w:rsidRPr="00DB6BC5" w:rsidRDefault="00F85EA9" w:rsidP="00DB6BC5">
      <w:pPr>
        <w:jc w:val="both"/>
        <w:rPr>
          <w:rFonts w:ascii="Times New Roman" w:hAnsi="Times New Roman" w:cs="Times New Roman"/>
          <w:sz w:val="24"/>
          <w:szCs w:val="24"/>
        </w:rPr>
      </w:pPr>
      <w:r w:rsidRPr="00DB6BC5">
        <w:rPr>
          <w:rFonts w:ascii="Times New Roman" w:hAnsi="Times New Roman" w:cs="Times New Roman"/>
          <w:sz w:val="24"/>
          <w:szCs w:val="24"/>
        </w:rPr>
        <w:t>According to this year's research, Montenegro's executive power is the most open in the region with a total of 55% of the indicators met. Nevertheless, Montenegro fits in with the negative regional trend, and the executive power institutions seem to stagnate in total when openness is in question, and in some cases, backward steps are also noted.</w:t>
      </w:r>
    </w:p>
    <w:p w14:paraId="0B61F8B9" w14:textId="01EE1B4F" w:rsidR="00D24120" w:rsidRPr="00DB6BC5" w:rsidRDefault="00F85EA9" w:rsidP="00DB6BC5">
      <w:pPr>
        <w:jc w:val="both"/>
        <w:rPr>
          <w:rFonts w:ascii="Times New Roman" w:hAnsi="Times New Roman" w:cs="Times New Roman"/>
          <w:sz w:val="24"/>
          <w:szCs w:val="24"/>
        </w:rPr>
      </w:pPr>
      <w:r w:rsidRPr="00DB6BC5">
        <w:rPr>
          <w:rFonts w:ascii="Times New Roman" w:hAnsi="Times New Roman" w:cs="Times New Roman"/>
          <w:sz w:val="24"/>
          <w:szCs w:val="24"/>
        </w:rPr>
        <w:t>The relationship to the very concept of openness is also reflected in the ignorance of the executive power to define the policy of openness through official documents and strategies. In the previous research, the CDT also pointed out that due to the lack of umbrella openness policy there are significant differences in the openness of the government, ministries and other state administration bodies, and that in Montenegro the issue of openness is still a matter of personal position of the first institution manager or his team and not a clear policy of the state. Even the new research has shown that there are bodies that, without any consequences, fail to comply with legal obligations in this field, as well as the principles and practices of good governance.</w:t>
      </w:r>
    </w:p>
    <w:p w14:paraId="315E508F" w14:textId="2FDCDBD9" w:rsidR="00801AD2" w:rsidRPr="00DB6BC5" w:rsidRDefault="00F85EA9" w:rsidP="00DB6BC5">
      <w:pPr>
        <w:pStyle w:val="ListParagraph"/>
        <w:numPr>
          <w:ilvl w:val="2"/>
          <w:numId w:val="1"/>
        </w:numPr>
        <w:spacing w:after="0"/>
        <w:jc w:val="both"/>
        <w:rPr>
          <w:rFonts w:ascii="Times New Roman" w:eastAsia="Times New Roman" w:hAnsi="Times New Roman" w:cs="Times New Roman"/>
          <w:color w:val="000000"/>
          <w:sz w:val="24"/>
          <w:szCs w:val="24"/>
          <w:lang w:val="sr-Latn-ME" w:eastAsia="en-GB"/>
        </w:rPr>
      </w:pPr>
      <w:r w:rsidRPr="00DB6BC5">
        <w:rPr>
          <w:rFonts w:ascii="Times New Roman" w:eastAsia="Times New Roman" w:hAnsi="Times New Roman" w:cs="Times New Roman"/>
          <w:color w:val="000000"/>
          <w:sz w:val="24"/>
          <w:szCs w:val="24"/>
          <w:lang w:val="sr-Latn-ME" w:eastAsia="en-GB"/>
        </w:rPr>
        <w:t>ACTION STEPS</w:t>
      </w:r>
    </w:p>
    <w:p w14:paraId="232B385D" w14:textId="32E70352" w:rsidR="00116F4A" w:rsidRPr="00DB6BC5" w:rsidRDefault="00116F4A" w:rsidP="00DB6BC5">
      <w:pPr>
        <w:spacing w:after="0"/>
        <w:jc w:val="both"/>
        <w:rPr>
          <w:rFonts w:ascii="Times New Roman" w:eastAsia="Times New Roman" w:hAnsi="Times New Roman" w:cs="Times New Roman"/>
          <w:color w:val="4F81BD" w:themeColor="accent1"/>
          <w:sz w:val="24"/>
          <w:szCs w:val="24"/>
          <w:lang w:val="sr-Latn-ME" w:eastAsia="en-GB"/>
        </w:rPr>
      </w:pPr>
    </w:p>
    <w:p w14:paraId="1D27EB2E" w14:textId="6C883A1A" w:rsidR="004C5051" w:rsidRPr="00DB6BC5" w:rsidRDefault="00F85EA9" w:rsidP="00DB6BC5">
      <w:pPr>
        <w:jc w:val="both"/>
        <w:rPr>
          <w:rFonts w:ascii="Times New Roman" w:hAnsi="Times New Roman" w:cs="Times New Roman"/>
          <w:b/>
          <w:sz w:val="24"/>
          <w:szCs w:val="24"/>
          <w:lang w:val="sr-Latn-ME"/>
        </w:rPr>
      </w:pPr>
      <w:r w:rsidRPr="00DB6BC5">
        <w:rPr>
          <w:rFonts w:ascii="Times New Roman" w:hAnsi="Times New Roman" w:cs="Times New Roman"/>
          <w:b/>
          <w:sz w:val="24"/>
          <w:szCs w:val="24"/>
          <w:lang w:val="sr-Latn-ME"/>
        </w:rPr>
        <w:t>The Government of Montenegro</w:t>
      </w:r>
    </w:p>
    <w:p w14:paraId="2E8D229F" w14:textId="6C2B5297" w:rsidR="00307043" w:rsidRPr="00DB6BC5" w:rsidRDefault="00F85EA9" w:rsidP="00DB6BC5">
      <w:pPr>
        <w:jc w:val="both"/>
        <w:rPr>
          <w:rFonts w:ascii="Times New Roman" w:hAnsi="Times New Roman" w:cs="Times New Roman"/>
          <w:sz w:val="24"/>
          <w:szCs w:val="24"/>
        </w:rPr>
      </w:pPr>
      <w:r w:rsidRPr="00DB6BC5">
        <w:rPr>
          <w:rFonts w:ascii="Times New Roman" w:hAnsi="Times New Roman" w:cs="Times New Roman"/>
          <w:sz w:val="24"/>
          <w:szCs w:val="24"/>
        </w:rPr>
        <w:t xml:space="preserve">The Government of Montenegro has a degree of openness of 69% of the indicators met. This is a weaker outcome than in the previous measurement, and there were three reasons for this. Firstly, we introduced new and more demanding indicators in this year's index, based on good practices </w:t>
      </w:r>
      <w:r w:rsidRPr="00DB6BC5">
        <w:rPr>
          <w:rFonts w:ascii="Times New Roman" w:hAnsi="Times New Roman" w:cs="Times New Roman"/>
          <w:sz w:val="24"/>
          <w:szCs w:val="24"/>
        </w:rPr>
        <w:lastRenderedPageBreak/>
        <w:t>and recommendations we sent to the institutions after the previous measurement.</w:t>
      </w:r>
      <w:r w:rsidRPr="00DB6BC5">
        <w:rPr>
          <w:rStyle w:val="FootnoteReference"/>
          <w:rFonts w:ascii="Times New Roman" w:hAnsi="Times New Roman" w:cs="Times New Roman"/>
          <w:sz w:val="24"/>
          <w:szCs w:val="24"/>
        </w:rPr>
        <w:footnoteReference w:id="1"/>
      </w:r>
      <w:r w:rsidRPr="00DB6BC5">
        <w:rPr>
          <w:rFonts w:ascii="Times New Roman" w:hAnsi="Times New Roman" w:cs="Times New Roman"/>
          <w:sz w:val="24"/>
          <w:szCs w:val="24"/>
        </w:rPr>
        <w:t xml:space="preserve"> The results show that the Government of Montenegro does not progress and does not develop practices and policies of openness. Secondly, this year we did not get answers to the questionnaire we sent to the General Secretariat of the Government, which resulted in some indicators being negatively evaluated. Finally, with regard to the indicators, there are clear negative trends and a decrease in openness. These conclusions correspond to the regional negative trend, from which only the Government of Macedonia has stood out, as it has achieved 76% of the indicators met, which makes it the most open government in the region.</w:t>
      </w:r>
    </w:p>
    <w:p w14:paraId="62D70AB0" w14:textId="1EB18C1D" w:rsidR="00F85EA9" w:rsidRPr="00DB6BC5" w:rsidRDefault="00F85EA9" w:rsidP="00DB6BC5">
      <w:pPr>
        <w:jc w:val="both"/>
        <w:rPr>
          <w:rFonts w:ascii="Times New Roman" w:hAnsi="Times New Roman" w:cs="Times New Roman"/>
          <w:sz w:val="24"/>
          <w:szCs w:val="24"/>
        </w:rPr>
      </w:pPr>
      <w:r w:rsidRPr="00DB6BC5">
        <w:rPr>
          <w:rFonts w:ascii="Times New Roman" w:hAnsi="Times New Roman" w:cs="Times New Roman"/>
          <w:sz w:val="24"/>
          <w:szCs w:val="24"/>
        </w:rPr>
        <w:t xml:space="preserve">The Government of Montenegro largely meets the indicators in the area of ​​administrative transparency, as it publishes most of the necessary information on public officials and civil servants, including detailed information on salaries public officials in the Government. </w:t>
      </w:r>
    </w:p>
    <w:p w14:paraId="5DF8CD9C" w14:textId="4AB0AD02" w:rsidR="00F85EA9" w:rsidRPr="00DB6BC5" w:rsidRDefault="00F85EA9" w:rsidP="00DB6BC5">
      <w:pPr>
        <w:jc w:val="both"/>
        <w:rPr>
          <w:rFonts w:ascii="Times New Roman" w:hAnsi="Times New Roman" w:cs="Times New Roman"/>
          <w:sz w:val="24"/>
          <w:szCs w:val="24"/>
          <w:lang w:val="sr-Latn-RS"/>
        </w:rPr>
      </w:pPr>
      <w:r w:rsidRPr="00DB6BC5">
        <w:rPr>
          <w:rFonts w:ascii="Times New Roman" w:hAnsi="Times New Roman" w:cs="Times New Roman"/>
          <w:sz w:val="24"/>
          <w:szCs w:val="24"/>
        </w:rPr>
        <w:t>In the analyzed period, the Government of Montenegro has improved its communication with citizens through social media. In addition to the existing Twitter profiles, the Government also launched a Facebook page that is regularly updated with new and current content. Moreover, a better coordination of communication activities of the ministries and the Government on social media was noted.</w:t>
      </w:r>
      <w:r w:rsidRPr="00DB6BC5">
        <w:rPr>
          <w:rFonts w:ascii="Times New Roman" w:hAnsi="Times New Roman" w:cs="Times New Roman"/>
          <w:sz w:val="24"/>
          <w:szCs w:val="24"/>
          <w:lang w:val="sr-Latn-RS"/>
        </w:rPr>
        <w:t xml:space="preserve"> </w:t>
      </w:r>
      <w:r w:rsidRPr="00DB6BC5">
        <w:rPr>
          <w:rFonts w:ascii="Times New Roman" w:hAnsi="Times New Roman" w:cs="Times New Roman"/>
          <w:sz w:val="24"/>
          <w:szCs w:val="24"/>
          <w:lang w:val="en"/>
        </w:rPr>
        <w:t>However, as stated in many areas there has been stagnation and regression.</w:t>
      </w:r>
    </w:p>
    <w:p w14:paraId="3EFEA8EC" w14:textId="269A67DD" w:rsidR="00307043" w:rsidRPr="00DB6BC5" w:rsidRDefault="00F85EA9" w:rsidP="00DB6BC5">
      <w:pPr>
        <w:spacing w:after="0"/>
        <w:jc w:val="both"/>
        <w:rPr>
          <w:rFonts w:ascii="Times New Roman" w:hAnsi="Times New Roman" w:cs="Times New Roman"/>
          <w:sz w:val="24"/>
          <w:szCs w:val="24"/>
          <w:lang w:val="sr-Latn-ME"/>
        </w:rPr>
      </w:pPr>
      <w:r w:rsidRPr="00DB6BC5">
        <w:rPr>
          <w:rFonts w:ascii="Times New Roman" w:hAnsi="Times New Roman" w:cs="Times New Roman"/>
          <w:sz w:val="24"/>
          <w:szCs w:val="24"/>
          <w:lang w:val="en"/>
        </w:rPr>
        <w:t>In order to improve and reach international standards of openness, we recommend to the Government the following steps</w:t>
      </w:r>
      <w:r w:rsidR="00307043" w:rsidRPr="00DB6BC5">
        <w:rPr>
          <w:rStyle w:val="FootnoteReference"/>
          <w:rFonts w:ascii="Times New Roman" w:hAnsi="Times New Roman" w:cs="Times New Roman"/>
          <w:sz w:val="24"/>
          <w:szCs w:val="24"/>
          <w:lang w:val="sr-Latn-ME"/>
        </w:rPr>
        <w:footnoteReference w:id="2"/>
      </w:r>
      <w:r w:rsidR="00307043" w:rsidRPr="00DB6BC5">
        <w:rPr>
          <w:rFonts w:ascii="Times New Roman" w:hAnsi="Times New Roman" w:cs="Times New Roman"/>
          <w:sz w:val="24"/>
          <w:szCs w:val="24"/>
          <w:lang w:val="sr-Latn-ME"/>
        </w:rPr>
        <w:t>:</w:t>
      </w:r>
    </w:p>
    <w:p w14:paraId="10AD4B1D" w14:textId="524CBFCF" w:rsidR="00F85EA9" w:rsidRPr="00DB6BC5" w:rsidRDefault="00F85EA9" w:rsidP="00DB6BC5">
      <w:pPr>
        <w:pStyle w:val="ListParagraph"/>
        <w:numPr>
          <w:ilvl w:val="0"/>
          <w:numId w:val="2"/>
        </w:numPr>
        <w:jc w:val="both"/>
        <w:rPr>
          <w:rFonts w:ascii="Times New Roman" w:hAnsi="Times New Roman" w:cs="Times New Roman"/>
          <w:sz w:val="24"/>
          <w:szCs w:val="24"/>
        </w:rPr>
      </w:pPr>
      <w:r w:rsidRPr="00DB6BC5">
        <w:rPr>
          <w:rFonts w:ascii="Times New Roman" w:hAnsi="Times New Roman" w:cs="Times New Roman"/>
          <w:sz w:val="24"/>
          <w:szCs w:val="24"/>
          <w:lang w:val="en"/>
        </w:rPr>
        <w:t>Adopt a legal act that will regulate policies and rules for achieving openness of the Government, ministries and other state administration bodies. In order to improve the described situation regarding the openness of the executive, formalization of the rules in this field and the introduction of "sanctions", i.e. a measures to determine the responsibility of institutions that do not comply with these rules, is necessary. The basis for the proposed legal act exists in the Rules of Procedure of the Government, the Law on State Administration, the Strategy of Public Administration Reform and other acts. In addition, the basis exists in a number of international standards and recommendations when it comes to the openness of institutions. The legal act would address the issues of transparency (organizational, administrative, financial), accessibility (proactive access to information, communication and interaction with citizens, use of new technologies), integrity of institutions, along with prescribed mechanisms for enforcement, controls and sanctions in case of non-compliance;</w:t>
      </w:r>
    </w:p>
    <w:p w14:paraId="0BD1F4E9" w14:textId="77777777" w:rsidR="00F85EA9" w:rsidRPr="00DB6BC5" w:rsidRDefault="00F85EA9" w:rsidP="00DB6BC5">
      <w:pPr>
        <w:pStyle w:val="ListParagraph"/>
        <w:jc w:val="both"/>
        <w:rPr>
          <w:rFonts w:ascii="Times New Roman" w:hAnsi="Times New Roman" w:cs="Times New Roman"/>
          <w:sz w:val="24"/>
          <w:szCs w:val="24"/>
          <w:lang w:val="sr-Latn-ME"/>
        </w:rPr>
      </w:pPr>
    </w:p>
    <w:p w14:paraId="724559E4" w14:textId="69670BA6" w:rsidR="00F85EA9" w:rsidRPr="00DB6BC5" w:rsidRDefault="00F85EA9" w:rsidP="00DB6BC5">
      <w:pPr>
        <w:pStyle w:val="ListParagraph"/>
        <w:numPr>
          <w:ilvl w:val="0"/>
          <w:numId w:val="2"/>
        </w:numPr>
        <w:jc w:val="both"/>
        <w:rPr>
          <w:rFonts w:ascii="Times New Roman" w:hAnsi="Times New Roman" w:cs="Times New Roman"/>
          <w:sz w:val="24"/>
          <w:szCs w:val="24"/>
          <w:lang w:val="sr-Latn-ME"/>
        </w:rPr>
      </w:pPr>
      <w:r w:rsidRPr="00DB6BC5">
        <w:rPr>
          <w:rFonts w:ascii="Times New Roman" w:hAnsi="Times New Roman" w:cs="Times New Roman"/>
          <w:sz w:val="24"/>
          <w:szCs w:val="24"/>
          <w:lang w:val="en"/>
        </w:rPr>
        <w:lastRenderedPageBreak/>
        <w:t xml:space="preserve">Publish the agenda of the Government session with all points to be discussed, including the names of the protected acts (marked as confidential). This will enable citizens and the interested public to know what the Government </w:t>
      </w:r>
      <w:r w:rsidRPr="00DB6BC5">
        <w:rPr>
          <w:rFonts w:ascii="Times New Roman" w:hAnsi="Times New Roman" w:cs="Times New Roman"/>
          <w:sz w:val="24"/>
          <w:szCs w:val="24"/>
        </w:rPr>
        <w:t>has been discussing and what it has adopted, question the unjustified classification of documents</w:t>
      </w:r>
      <w:r w:rsidRPr="00DB6BC5">
        <w:rPr>
          <w:rFonts w:ascii="Times New Roman" w:hAnsi="Times New Roman" w:cs="Times New Roman"/>
          <w:sz w:val="24"/>
          <w:szCs w:val="24"/>
          <w:lang w:val="en"/>
        </w:rPr>
        <w:t xml:space="preserve">, </w:t>
      </w:r>
      <w:r w:rsidRPr="00DB6BC5">
        <w:rPr>
          <w:rFonts w:ascii="Times New Roman" w:hAnsi="Times New Roman" w:cs="Times New Roman"/>
          <w:sz w:val="24"/>
          <w:szCs w:val="24"/>
        </w:rPr>
        <w:t>monitor deadlines for termination of data confidentiality to get to know the content of the document when possible;</w:t>
      </w:r>
    </w:p>
    <w:p w14:paraId="7AA04A0A" w14:textId="65A70DDF" w:rsidR="00F85EA9" w:rsidRPr="00DB6BC5" w:rsidRDefault="00F85EA9" w:rsidP="00DB6BC5">
      <w:pPr>
        <w:pStyle w:val="ListParagraph"/>
        <w:numPr>
          <w:ilvl w:val="0"/>
          <w:numId w:val="2"/>
        </w:numPr>
        <w:jc w:val="both"/>
        <w:rPr>
          <w:rFonts w:ascii="Times New Roman" w:hAnsi="Times New Roman" w:cs="Times New Roman"/>
          <w:sz w:val="24"/>
          <w:szCs w:val="24"/>
          <w:lang w:val="sr-Latn-ME"/>
        </w:rPr>
      </w:pPr>
      <w:r w:rsidRPr="00DB6BC5">
        <w:rPr>
          <w:rFonts w:ascii="Times New Roman" w:hAnsi="Times New Roman" w:cs="Times New Roman"/>
          <w:sz w:val="24"/>
          <w:szCs w:val="24"/>
          <w:lang w:val="sr-Latn-RS"/>
        </w:rPr>
        <w:t>P</w:t>
      </w:r>
      <w:r w:rsidRPr="00DB6BC5">
        <w:rPr>
          <w:rFonts w:ascii="Times New Roman" w:hAnsi="Times New Roman" w:cs="Times New Roman"/>
          <w:sz w:val="24"/>
          <w:szCs w:val="24"/>
        </w:rPr>
        <w:t xml:space="preserve">ublish </w:t>
      </w:r>
      <w:r w:rsidRPr="00DB6BC5">
        <w:rPr>
          <w:rFonts w:ascii="Times New Roman" w:hAnsi="Times New Roman" w:cs="Times New Roman"/>
          <w:sz w:val="24"/>
          <w:szCs w:val="24"/>
          <w:lang w:val="sr-Latn-RS"/>
        </w:rPr>
        <w:t xml:space="preserve">the </w:t>
      </w:r>
      <w:r w:rsidRPr="00DB6BC5">
        <w:rPr>
          <w:rFonts w:ascii="Times New Roman" w:hAnsi="Times New Roman" w:cs="Times New Roman"/>
          <w:sz w:val="24"/>
          <w:szCs w:val="24"/>
        </w:rPr>
        <w:t xml:space="preserve">minutes of the </w:t>
      </w:r>
      <w:r w:rsidRPr="00DB6BC5">
        <w:rPr>
          <w:rFonts w:ascii="Times New Roman" w:hAnsi="Times New Roman" w:cs="Times New Roman"/>
          <w:sz w:val="24"/>
          <w:szCs w:val="24"/>
          <w:lang w:val="sr-Latn-RS"/>
        </w:rPr>
        <w:t xml:space="preserve">Government </w:t>
      </w:r>
      <w:r w:rsidRPr="00DB6BC5">
        <w:rPr>
          <w:rFonts w:ascii="Times New Roman" w:hAnsi="Times New Roman" w:cs="Times New Roman"/>
          <w:sz w:val="24"/>
          <w:szCs w:val="24"/>
        </w:rPr>
        <w:t>sessions, so that citizens can have a more complete picture of the dynamics of the sessions and the manner they consider the policies</w:t>
      </w:r>
      <w:r w:rsidR="00D61550" w:rsidRPr="00DB6BC5">
        <w:rPr>
          <w:rFonts w:ascii="Times New Roman" w:hAnsi="Times New Roman" w:cs="Times New Roman"/>
          <w:sz w:val="24"/>
          <w:szCs w:val="24"/>
          <w:lang w:val="sr-Latn-RS"/>
        </w:rPr>
        <w:t>;</w:t>
      </w:r>
    </w:p>
    <w:p w14:paraId="78F72C59" w14:textId="630ADEA1" w:rsidR="00F85EA9" w:rsidRPr="00DB6BC5" w:rsidRDefault="00D61550" w:rsidP="00DB6BC5">
      <w:pPr>
        <w:pStyle w:val="ListParagraph"/>
        <w:numPr>
          <w:ilvl w:val="0"/>
          <w:numId w:val="2"/>
        </w:numPr>
        <w:jc w:val="both"/>
        <w:rPr>
          <w:rFonts w:ascii="Times New Roman" w:hAnsi="Times New Roman" w:cs="Times New Roman"/>
          <w:sz w:val="24"/>
          <w:szCs w:val="24"/>
          <w:lang w:val="sr-Latn-ME"/>
        </w:rPr>
      </w:pPr>
      <w:r w:rsidRPr="00DB6BC5">
        <w:rPr>
          <w:rFonts w:ascii="Times New Roman" w:hAnsi="Times New Roman" w:cs="Times New Roman"/>
          <w:sz w:val="24"/>
          <w:szCs w:val="24"/>
          <w:lang w:val="en"/>
        </w:rPr>
        <w:t>Establish a live stream for transmission of at least part of the Government sessions, so that the public may have an insight into the dynamics or at least the key moments of the discussion at the sessions;</w:t>
      </w:r>
    </w:p>
    <w:p w14:paraId="00D4AEC2" w14:textId="2BB23EBB" w:rsidR="00D61550" w:rsidRPr="00DB6BC5" w:rsidRDefault="00D61550" w:rsidP="00DB6BC5">
      <w:pPr>
        <w:pStyle w:val="ListParagraph"/>
        <w:numPr>
          <w:ilvl w:val="0"/>
          <w:numId w:val="2"/>
        </w:numPr>
        <w:jc w:val="both"/>
        <w:rPr>
          <w:rFonts w:ascii="Times New Roman" w:hAnsi="Times New Roman" w:cs="Times New Roman"/>
          <w:sz w:val="24"/>
          <w:szCs w:val="24"/>
        </w:rPr>
      </w:pPr>
      <w:r w:rsidRPr="00DB6BC5">
        <w:rPr>
          <w:rFonts w:ascii="Times New Roman" w:hAnsi="Times New Roman" w:cs="Times New Roman"/>
          <w:sz w:val="24"/>
          <w:szCs w:val="24"/>
          <w:lang w:val="en"/>
        </w:rPr>
        <w:t xml:space="preserve">Reconstruct the website of the Government and </w:t>
      </w:r>
      <w:r w:rsidRPr="00DB6BC5">
        <w:rPr>
          <w:rFonts w:ascii="Times New Roman" w:hAnsi="Times New Roman" w:cs="Times New Roman"/>
          <w:sz w:val="24"/>
          <w:szCs w:val="24"/>
        </w:rPr>
        <w:t>subordinate websites of other bodies. The website of the Government of Montenegro and the subordinate websites of other bodies were established in early 2010 and their urgent reconstruction in accordance with new technologies is needed.</w:t>
      </w:r>
    </w:p>
    <w:p w14:paraId="118D390C" w14:textId="06133EFD" w:rsidR="00D61550" w:rsidRPr="00DB6BC5" w:rsidRDefault="00D61550" w:rsidP="00DB6BC5">
      <w:pPr>
        <w:pStyle w:val="ListParagraph"/>
        <w:numPr>
          <w:ilvl w:val="0"/>
          <w:numId w:val="2"/>
        </w:numPr>
        <w:jc w:val="both"/>
        <w:rPr>
          <w:rFonts w:ascii="Times New Roman" w:hAnsi="Times New Roman" w:cs="Times New Roman"/>
          <w:b/>
          <w:sz w:val="24"/>
          <w:szCs w:val="24"/>
        </w:rPr>
      </w:pPr>
      <w:r w:rsidRPr="00DB6BC5">
        <w:rPr>
          <w:rFonts w:ascii="Times New Roman" w:hAnsi="Times New Roman" w:cs="Times New Roman"/>
          <w:sz w:val="24"/>
          <w:szCs w:val="24"/>
          <w:lang w:val="en"/>
        </w:rPr>
        <w:t xml:space="preserve">Develop rules on compulsory, regular and uniform updating of the websites of state authorities. </w:t>
      </w:r>
      <w:r w:rsidRPr="00DB6BC5">
        <w:rPr>
          <w:rFonts w:ascii="Times New Roman" w:hAnsi="Times New Roman" w:cs="Times New Roman"/>
          <w:sz w:val="24"/>
          <w:szCs w:val="24"/>
          <w:lang w:val="sr-Latn-RS"/>
        </w:rPr>
        <w:t xml:space="preserve">Besides the reconstruction of the websites, it is necessary to </w:t>
      </w:r>
      <w:r w:rsidRPr="00DB6BC5">
        <w:rPr>
          <w:rFonts w:ascii="Times New Roman" w:hAnsi="Times New Roman" w:cs="Times New Roman"/>
          <w:sz w:val="24"/>
          <w:szCs w:val="24"/>
        </w:rPr>
        <w:t>define or revise the rules of organization and administration of information and data, the minimum content on the websites of the ministries, in accordance with the rules of proactive access and publicat</w:t>
      </w:r>
      <w:r w:rsidR="00A04064" w:rsidRPr="00DB6BC5">
        <w:rPr>
          <w:rFonts w:ascii="Times New Roman" w:hAnsi="Times New Roman" w:cs="Times New Roman"/>
          <w:sz w:val="24"/>
          <w:szCs w:val="24"/>
        </w:rPr>
        <w:t>ion of data in open data format;</w:t>
      </w:r>
    </w:p>
    <w:p w14:paraId="094DBB33" w14:textId="166108B8" w:rsidR="00A04064" w:rsidRPr="00DB6BC5" w:rsidRDefault="00A04064" w:rsidP="00DB6BC5">
      <w:pPr>
        <w:pStyle w:val="ListParagraph"/>
        <w:numPr>
          <w:ilvl w:val="0"/>
          <w:numId w:val="2"/>
        </w:numPr>
        <w:jc w:val="both"/>
        <w:rPr>
          <w:rFonts w:ascii="Times New Roman" w:hAnsi="Times New Roman" w:cs="Times New Roman"/>
          <w:b/>
          <w:sz w:val="24"/>
          <w:szCs w:val="24"/>
        </w:rPr>
      </w:pPr>
      <w:r w:rsidRPr="00DB6BC5">
        <w:rPr>
          <w:rFonts w:ascii="Times New Roman" w:hAnsi="Times New Roman" w:cs="Times New Roman"/>
          <w:sz w:val="24"/>
          <w:szCs w:val="24"/>
          <w:lang w:val="sr-Latn-RS"/>
        </w:rPr>
        <w:t>Publish data in open data format;</w:t>
      </w:r>
    </w:p>
    <w:p w14:paraId="3DB3C75C" w14:textId="07B751F0" w:rsidR="00A04064" w:rsidRPr="00DB6BC5" w:rsidRDefault="00B52203" w:rsidP="00DB6BC5">
      <w:pPr>
        <w:pStyle w:val="ListParagraph"/>
        <w:numPr>
          <w:ilvl w:val="0"/>
          <w:numId w:val="2"/>
        </w:numPr>
        <w:jc w:val="both"/>
        <w:rPr>
          <w:rFonts w:ascii="Times New Roman" w:hAnsi="Times New Roman" w:cs="Times New Roman"/>
          <w:b/>
          <w:sz w:val="24"/>
          <w:szCs w:val="24"/>
        </w:rPr>
      </w:pPr>
      <w:r w:rsidRPr="00DB6BC5">
        <w:rPr>
          <w:rFonts w:ascii="Times New Roman" w:hAnsi="Times New Roman" w:cs="Times New Roman"/>
          <w:sz w:val="24"/>
          <w:szCs w:val="24"/>
          <w:lang w:val="en"/>
        </w:rPr>
        <w:t>Make a Legal Analysis of the Law on Free Access to Information, with the aim of amending the Law and harmonizing it with international standards in this field. We also recommend building the capacities of the Agency for the Protection of Personal Data and Free Access to Information for monitoring the implementation of the Law, and reviewing the mechanisms for increasing the responsibility of the Agency's work. In addition, it is necessary to improve the implementation of the inspection supervision according to a previously clearly defined working methodology and more efficient implementation of the misdemeanor policy in case of violation of the Law;</w:t>
      </w:r>
    </w:p>
    <w:p w14:paraId="2974393B" w14:textId="77777777" w:rsidR="00B52203" w:rsidRPr="00DB6BC5" w:rsidRDefault="00B52203" w:rsidP="00DB6BC5">
      <w:pPr>
        <w:pStyle w:val="ListParagraph"/>
        <w:numPr>
          <w:ilvl w:val="0"/>
          <w:numId w:val="2"/>
        </w:numPr>
        <w:jc w:val="both"/>
        <w:rPr>
          <w:rFonts w:ascii="Times New Roman" w:hAnsi="Times New Roman" w:cs="Times New Roman"/>
          <w:sz w:val="24"/>
          <w:szCs w:val="24"/>
          <w:lang w:val="sr-Latn-ME"/>
        </w:rPr>
      </w:pPr>
      <w:r w:rsidRPr="00DB6BC5">
        <w:rPr>
          <w:rFonts w:ascii="Times New Roman" w:hAnsi="Times New Roman" w:cs="Times New Roman"/>
          <w:sz w:val="24"/>
          <w:szCs w:val="24"/>
          <w:lang w:val="en"/>
        </w:rPr>
        <w:t>Create and publish a "Budget for Citizens" in order to bring the budget closer to the citizens, through narrative and graphic explanations;</w:t>
      </w:r>
    </w:p>
    <w:p w14:paraId="7B88C84A" w14:textId="3C480790" w:rsidR="00B52203" w:rsidRPr="00DB6BC5" w:rsidRDefault="00B52203" w:rsidP="00DB6BC5">
      <w:pPr>
        <w:pStyle w:val="ListParagraph"/>
        <w:numPr>
          <w:ilvl w:val="0"/>
          <w:numId w:val="2"/>
        </w:numPr>
        <w:jc w:val="both"/>
        <w:rPr>
          <w:rFonts w:ascii="Times New Roman" w:hAnsi="Times New Roman" w:cs="Times New Roman"/>
          <w:sz w:val="24"/>
          <w:szCs w:val="24"/>
          <w:lang w:val="sr-Latn-ME"/>
        </w:rPr>
      </w:pPr>
      <w:r w:rsidRPr="00DB6BC5">
        <w:rPr>
          <w:rFonts w:ascii="Times New Roman" w:hAnsi="Times New Roman" w:cs="Times New Roman"/>
          <w:sz w:val="24"/>
          <w:szCs w:val="24"/>
          <w:lang w:val="sr-Latn-ME"/>
        </w:rPr>
        <w:t>Publish public procurement plans</w:t>
      </w:r>
      <w:r w:rsidR="00307043" w:rsidRPr="00DB6BC5">
        <w:rPr>
          <w:rFonts w:ascii="Times New Roman" w:hAnsi="Times New Roman" w:cs="Times New Roman"/>
          <w:sz w:val="24"/>
          <w:szCs w:val="24"/>
          <w:lang w:val="sr-Latn-ME"/>
        </w:rPr>
        <w:t xml:space="preserve">. </w:t>
      </w:r>
      <w:r w:rsidRPr="00DB6BC5">
        <w:rPr>
          <w:rFonts w:ascii="Times New Roman" w:hAnsi="Times New Roman" w:cs="Times New Roman"/>
          <w:sz w:val="24"/>
          <w:szCs w:val="24"/>
        </w:rPr>
        <w:t>There are no public procurement plans for 2015, 2016 and 2017 on the Government’s website, while there are plans for 2013 and 2014;</w:t>
      </w:r>
    </w:p>
    <w:p w14:paraId="111D1B07" w14:textId="3EA35585" w:rsidR="00B52203" w:rsidRPr="00DB6BC5" w:rsidRDefault="00B52203" w:rsidP="00DB6BC5">
      <w:pPr>
        <w:pStyle w:val="ListParagraph"/>
        <w:numPr>
          <w:ilvl w:val="0"/>
          <w:numId w:val="2"/>
        </w:numPr>
        <w:jc w:val="both"/>
        <w:rPr>
          <w:rFonts w:ascii="Times New Roman" w:hAnsi="Times New Roman" w:cs="Times New Roman"/>
          <w:sz w:val="24"/>
          <w:szCs w:val="24"/>
          <w:lang w:val="sr-Latn-ME"/>
        </w:rPr>
      </w:pPr>
      <w:r w:rsidRPr="00DB6BC5">
        <w:rPr>
          <w:rFonts w:ascii="Times New Roman" w:hAnsi="Times New Roman" w:cs="Times New Roman"/>
          <w:sz w:val="24"/>
          <w:szCs w:val="24"/>
          <w:lang w:val="sr-Latn-RS"/>
        </w:rPr>
        <w:t>Publish work reports on a regular basis (</w:t>
      </w:r>
      <w:r w:rsidRPr="00DB6BC5">
        <w:rPr>
          <w:rFonts w:ascii="Times New Roman" w:hAnsi="Times New Roman" w:cs="Times New Roman"/>
          <w:sz w:val="24"/>
          <w:szCs w:val="24"/>
        </w:rPr>
        <w:t xml:space="preserve">often omitting to publish </w:t>
      </w:r>
      <w:r w:rsidRPr="00DB6BC5">
        <w:rPr>
          <w:rFonts w:ascii="Times New Roman" w:hAnsi="Times New Roman" w:cs="Times New Roman"/>
          <w:sz w:val="24"/>
          <w:szCs w:val="24"/>
          <w:lang w:val="sr-Latn-RS"/>
        </w:rPr>
        <w:t xml:space="preserve">the last </w:t>
      </w:r>
      <w:r w:rsidRPr="00DB6BC5">
        <w:rPr>
          <w:rFonts w:ascii="Times New Roman" w:hAnsi="Times New Roman" w:cs="Times New Roman"/>
          <w:sz w:val="24"/>
          <w:szCs w:val="24"/>
        </w:rPr>
        <w:t xml:space="preserve">quarterly reports). </w:t>
      </w:r>
      <w:r w:rsidRPr="00DB6BC5">
        <w:rPr>
          <w:rFonts w:ascii="Times New Roman" w:hAnsi="Times New Roman" w:cs="Times New Roman"/>
          <w:sz w:val="24"/>
          <w:szCs w:val="24"/>
          <w:lang w:val="sr-Latn-RS"/>
        </w:rPr>
        <w:t xml:space="preserve">It should be noted that </w:t>
      </w:r>
      <w:r w:rsidRPr="00DB6BC5">
        <w:rPr>
          <w:rFonts w:ascii="Times New Roman" w:hAnsi="Times New Roman" w:cs="Times New Roman"/>
          <w:sz w:val="24"/>
          <w:szCs w:val="24"/>
        </w:rPr>
        <w:t xml:space="preserve">these reports are most often a statistical indicator of the fulfillment of obligations from the normative activities of the Government and do not include an analysis of the Government's effectiveness in policy-making. We see the opportunity for </w:t>
      </w:r>
      <w:r w:rsidRPr="00DB6BC5">
        <w:rPr>
          <w:rFonts w:ascii="Times New Roman" w:hAnsi="Times New Roman" w:cs="Times New Roman"/>
          <w:sz w:val="24"/>
          <w:szCs w:val="24"/>
        </w:rPr>
        <w:lastRenderedPageBreak/>
        <w:t>improvement in this area in adoption of the Medium-term Work Program of the Government 2018-2020, which focuses on measuring the results that the Government is achieving;</w:t>
      </w:r>
    </w:p>
    <w:p w14:paraId="1AAE045C" w14:textId="5399620D" w:rsidR="008C60FB" w:rsidRPr="00DB6BC5" w:rsidRDefault="008C60FB" w:rsidP="00DB6BC5">
      <w:pPr>
        <w:pStyle w:val="ListParagraph"/>
        <w:numPr>
          <w:ilvl w:val="0"/>
          <w:numId w:val="2"/>
        </w:numPr>
        <w:jc w:val="both"/>
        <w:rPr>
          <w:rFonts w:ascii="Times New Roman" w:hAnsi="Times New Roman" w:cs="Times New Roman"/>
          <w:sz w:val="24"/>
          <w:szCs w:val="24"/>
          <w:lang w:val="sr-Latn-ME"/>
        </w:rPr>
      </w:pPr>
      <w:r w:rsidRPr="00DB6BC5">
        <w:rPr>
          <w:rFonts w:ascii="Times New Roman" w:hAnsi="Times New Roman" w:cs="Times New Roman"/>
          <w:sz w:val="24"/>
          <w:szCs w:val="24"/>
          <w:lang w:val="en"/>
        </w:rPr>
        <w:t>The crown of the entire process would be the preparation and adoption of the Law on Executive Power.</w:t>
      </w:r>
    </w:p>
    <w:p w14:paraId="39530EF1" w14:textId="628A07BE" w:rsidR="00406A03" w:rsidRPr="00DB6BC5" w:rsidRDefault="007608C5" w:rsidP="00DB6BC5">
      <w:pPr>
        <w:pStyle w:val="ListParagraph"/>
        <w:numPr>
          <w:ilvl w:val="0"/>
          <w:numId w:val="2"/>
        </w:numPr>
        <w:jc w:val="both"/>
        <w:rPr>
          <w:rFonts w:ascii="Times New Roman" w:hAnsi="Times New Roman" w:cs="Times New Roman"/>
          <w:sz w:val="24"/>
          <w:szCs w:val="24"/>
          <w:lang w:val="sr-Latn-ME"/>
        </w:rPr>
      </w:pPr>
      <w:r w:rsidRPr="00DB6BC5">
        <w:rPr>
          <w:rFonts w:ascii="Times New Roman" w:hAnsi="Times New Roman" w:cs="Times New Roman"/>
          <w:sz w:val="24"/>
          <w:szCs w:val="24"/>
          <w:lang w:val="en"/>
        </w:rPr>
        <w:t xml:space="preserve">The crown of the entire process would be the preparation and adoption of the Law on Executive Power. In Montenegro, the functioning of the judiciary is regulated by the Law on Courts, the Law on the State Prosecutor's Office and others. The functioning of local self-government is also regulated by a special law. Recently, the Law on the President of Montenegro has been adopted. However, there are no laws governing the work of the Government of Montenegro. The functioning of the executive power is regulated by a series of acts, from the Rules of Procedure of the Government, through the </w:t>
      </w:r>
      <w:r w:rsidRPr="00DB6BC5">
        <w:rPr>
          <w:rStyle w:val="shorttext"/>
          <w:rFonts w:ascii="Times New Roman" w:hAnsi="Times New Roman" w:cs="Times New Roman"/>
          <w:sz w:val="24"/>
          <w:szCs w:val="24"/>
          <w:lang w:val="en"/>
        </w:rPr>
        <w:t>Decree on the Organization and Work of the State Administration</w:t>
      </w:r>
      <w:r w:rsidRPr="00DB6BC5">
        <w:rPr>
          <w:rFonts w:ascii="Times New Roman" w:hAnsi="Times New Roman" w:cs="Times New Roman"/>
          <w:sz w:val="24"/>
          <w:szCs w:val="24"/>
          <w:lang w:val="en"/>
        </w:rPr>
        <w:t xml:space="preserve">, etc. This issue needs to be regulated normatively through the codification </w:t>
      </w:r>
      <w:r w:rsidR="00406A03" w:rsidRPr="00DB6BC5">
        <w:rPr>
          <w:rFonts w:ascii="Times New Roman" w:hAnsi="Times New Roman" w:cs="Times New Roman"/>
          <w:sz w:val="24"/>
          <w:szCs w:val="24"/>
          <w:lang w:val="en"/>
        </w:rPr>
        <w:t>of the areas in the Law on the Executive power or Law on Government. Umbrella act is needed, i.e. the</w:t>
      </w:r>
      <w:r w:rsidRPr="00DB6BC5">
        <w:rPr>
          <w:rFonts w:ascii="Times New Roman" w:hAnsi="Times New Roman" w:cs="Times New Roman"/>
          <w:sz w:val="24"/>
          <w:szCs w:val="24"/>
          <w:lang w:val="en"/>
        </w:rPr>
        <w:t xml:space="preserve"> law that will regulate the competencies and powers of the executive branch with the relevant by-law. The legal basis for the adoption of such a regulation exists in the Constitution of Montenegro.</w:t>
      </w:r>
    </w:p>
    <w:p w14:paraId="1B43D21A" w14:textId="520131F9" w:rsidR="00A51464" w:rsidRPr="00DB6BC5" w:rsidRDefault="00E04BAA" w:rsidP="00DB6BC5">
      <w:pPr>
        <w:spacing w:after="0"/>
        <w:jc w:val="both"/>
        <w:rPr>
          <w:rFonts w:ascii="Times New Roman" w:eastAsia="Times New Roman" w:hAnsi="Times New Roman" w:cs="Times New Roman"/>
          <w:b/>
          <w:sz w:val="24"/>
          <w:szCs w:val="24"/>
          <w:lang w:val="sr-Latn-ME" w:eastAsia="en-GB"/>
        </w:rPr>
      </w:pPr>
      <w:r w:rsidRPr="00DB6BC5">
        <w:rPr>
          <w:rFonts w:ascii="Times New Roman" w:eastAsia="Times New Roman" w:hAnsi="Times New Roman" w:cs="Times New Roman"/>
          <w:b/>
          <w:sz w:val="24"/>
          <w:szCs w:val="24"/>
          <w:lang w:val="sr-Latn-ME" w:eastAsia="en-GB"/>
        </w:rPr>
        <w:t>Ministries</w:t>
      </w:r>
    </w:p>
    <w:p w14:paraId="0F59262D" w14:textId="77777777" w:rsidR="00A51464" w:rsidRPr="00DB6BC5" w:rsidRDefault="00A51464" w:rsidP="00DB6BC5">
      <w:pPr>
        <w:spacing w:after="0"/>
        <w:jc w:val="both"/>
        <w:rPr>
          <w:rFonts w:ascii="Times New Roman" w:eastAsia="Times New Roman" w:hAnsi="Times New Roman" w:cs="Times New Roman"/>
          <w:sz w:val="24"/>
          <w:szCs w:val="24"/>
          <w:lang w:val="sr-Latn-ME" w:eastAsia="en-GB"/>
        </w:rPr>
      </w:pPr>
    </w:p>
    <w:p w14:paraId="1F5BE1D6" w14:textId="77777777" w:rsidR="000D7DB1" w:rsidRPr="00DB6BC5" w:rsidRDefault="000D7DB1" w:rsidP="00DB6BC5">
      <w:pPr>
        <w:jc w:val="both"/>
        <w:rPr>
          <w:rFonts w:ascii="Times New Roman" w:hAnsi="Times New Roman" w:cs="Times New Roman"/>
          <w:sz w:val="24"/>
          <w:szCs w:val="24"/>
        </w:rPr>
      </w:pPr>
      <w:r w:rsidRPr="00DB6BC5">
        <w:rPr>
          <w:rFonts w:ascii="Times New Roman" w:hAnsi="Times New Roman" w:cs="Times New Roman"/>
          <w:sz w:val="24"/>
          <w:szCs w:val="24"/>
        </w:rPr>
        <w:t>On average, the ministries in Montenegro meet 60% of the openness criteria. This result is the best in the region. However, there are not many reasons to be satisfied, as this result says more about the poor state in the region than about the good in Montenegro.</w:t>
      </w:r>
    </w:p>
    <w:p w14:paraId="4F815D5E" w14:textId="3256F1F6" w:rsidR="00B26E3A" w:rsidRPr="00DB6BC5" w:rsidRDefault="000D7DB1" w:rsidP="00DB6BC5">
      <w:pPr>
        <w:jc w:val="both"/>
        <w:rPr>
          <w:rFonts w:ascii="Times New Roman" w:hAnsi="Times New Roman" w:cs="Times New Roman"/>
          <w:sz w:val="24"/>
          <w:szCs w:val="24"/>
        </w:rPr>
      </w:pPr>
      <w:r w:rsidRPr="00DB6BC5">
        <w:rPr>
          <w:rFonts w:ascii="Times New Roman" w:hAnsi="Times New Roman" w:cs="Times New Roman"/>
          <w:sz w:val="24"/>
          <w:szCs w:val="24"/>
          <w:lang w:val="sr-Latn-RS"/>
        </w:rPr>
        <w:t>There are large</w:t>
      </w:r>
      <w:r w:rsidRPr="00DB6BC5">
        <w:rPr>
          <w:rFonts w:ascii="Times New Roman" w:hAnsi="Times New Roman" w:cs="Times New Roman"/>
          <w:sz w:val="24"/>
          <w:szCs w:val="24"/>
        </w:rPr>
        <w:t xml:space="preserve"> differences in results</w:t>
      </w:r>
      <w:r w:rsidRPr="00DB6BC5">
        <w:rPr>
          <w:rFonts w:ascii="Times New Roman" w:hAnsi="Times New Roman" w:cs="Times New Roman"/>
          <w:sz w:val="24"/>
          <w:szCs w:val="24"/>
          <w:lang w:val="sr-Latn-RS"/>
        </w:rPr>
        <w:t xml:space="preserve"> between the best and the worst ranked ministry,</w:t>
      </w:r>
      <w:r w:rsidRPr="00DB6BC5">
        <w:rPr>
          <w:rFonts w:ascii="Times New Roman" w:hAnsi="Times New Roman" w:cs="Times New Roman"/>
          <w:sz w:val="24"/>
          <w:szCs w:val="24"/>
        </w:rPr>
        <w:t xml:space="preserve"> which are an evidence of unequal access to openness policies, and the need for strategic planning and development of openness at the level of all ministries.</w:t>
      </w:r>
    </w:p>
    <w:p w14:paraId="2C780790" w14:textId="1C7AC375" w:rsidR="00B26E3A" w:rsidRPr="00DB6BC5" w:rsidRDefault="000D7DB1" w:rsidP="00DB6BC5">
      <w:pPr>
        <w:jc w:val="both"/>
        <w:rPr>
          <w:rFonts w:ascii="Times New Roman" w:hAnsi="Times New Roman" w:cs="Times New Roman"/>
          <w:sz w:val="24"/>
          <w:szCs w:val="24"/>
        </w:rPr>
      </w:pPr>
      <w:r w:rsidRPr="00DB6BC5">
        <w:rPr>
          <w:rFonts w:ascii="Times New Roman" w:hAnsi="Times New Roman" w:cs="Times New Roman"/>
          <w:sz w:val="24"/>
          <w:szCs w:val="24"/>
        </w:rPr>
        <w:t>The ministries should be more dedicated to informing citizens about activities within their scope of action, with an emphasis on what they plan to do and what they have achieved with their work.</w:t>
      </w:r>
    </w:p>
    <w:p w14:paraId="215293D3" w14:textId="3E31EE69" w:rsidR="00B26E3A" w:rsidRPr="00DB6BC5" w:rsidRDefault="000D7DB1" w:rsidP="00DB6BC5">
      <w:pPr>
        <w:jc w:val="both"/>
        <w:rPr>
          <w:rFonts w:ascii="Times New Roman" w:hAnsi="Times New Roman" w:cs="Times New Roman"/>
          <w:sz w:val="24"/>
          <w:szCs w:val="24"/>
        </w:rPr>
      </w:pPr>
      <w:r w:rsidRPr="00DB6BC5">
        <w:rPr>
          <w:rFonts w:ascii="Times New Roman" w:hAnsi="Times New Roman" w:cs="Times New Roman"/>
          <w:sz w:val="24"/>
          <w:szCs w:val="24"/>
        </w:rPr>
        <w:t>Below we present key recommendations and guidelines for improvement:</w:t>
      </w:r>
    </w:p>
    <w:p w14:paraId="70F5EE90" w14:textId="4743A54C" w:rsidR="000D7DB1" w:rsidRPr="00DB6BC5" w:rsidRDefault="000D7DB1" w:rsidP="00DB6BC5">
      <w:pPr>
        <w:pStyle w:val="ListParagraph"/>
        <w:numPr>
          <w:ilvl w:val="0"/>
          <w:numId w:val="5"/>
        </w:numPr>
        <w:jc w:val="both"/>
        <w:rPr>
          <w:rFonts w:ascii="Times New Roman" w:hAnsi="Times New Roman" w:cs="Times New Roman"/>
          <w:sz w:val="24"/>
          <w:szCs w:val="24"/>
        </w:rPr>
      </w:pPr>
      <w:r w:rsidRPr="00DB6BC5">
        <w:rPr>
          <w:rFonts w:ascii="Times New Roman" w:hAnsi="Times New Roman" w:cs="Times New Roman"/>
          <w:sz w:val="24"/>
          <w:szCs w:val="24"/>
        </w:rPr>
        <w:t>Improve the quality of websites of the ministries by reconstructing the existing websites and revising the rules on development and management of websites.</w:t>
      </w:r>
    </w:p>
    <w:p w14:paraId="0016D84C" w14:textId="0BEACB4D" w:rsidR="000D7DB1" w:rsidRPr="00DB6BC5" w:rsidRDefault="000D7DB1" w:rsidP="00DB6BC5">
      <w:pPr>
        <w:pStyle w:val="ListParagraph"/>
        <w:numPr>
          <w:ilvl w:val="0"/>
          <w:numId w:val="5"/>
        </w:numPr>
        <w:jc w:val="both"/>
        <w:rPr>
          <w:rFonts w:ascii="Times New Roman" w:hAnsi="Times New Roman" w:cs="Times New Roman"/>
          <w:sz w:val="24"/>
          <w:szCs w:val="24"/>
        </w:rPr>
      </w:pPr>
      <w:r w:rsidRPr="00DB6BC5">
        <w:rPr>
          <w:rFonts w:ascii="Times New Roman" w:hAnsi="Times New Roman" w:cs="Times New Roman"/>
          <w:sz w:val="24"/>
          <w:szCs w:val="24"/>
        </w:rPr>
        <w:t>Timely publish organizational information and and financial data on the work of ministries:</w:t>
      </w:r>
    </w:p>
    <w:p w14:paraId="077495AF" w14:textId="74F6129E" w:rsidR="000D7DB1" w:rsidRPr="00DB6BC5" w:rsidRDefault="000D7DB1" w:rsidP="00DB6BC5">
      <w:pPr>
        <w:pStyle w:val="ListParagraph"/>
        <w:jc w:val="both"/>
        <w:rPr>
          <w:rFonts w:ascii="Times New Roman" w:hAnsi="Times New Roman" w:cs="Times New Roman"/>
          <w:sz w:val="24"/>
          <w:szCs w:val="24"/>
        </w:rPr>
      </w:pPr>
      <w:r w:rsidRPr="00DB6BC5">
        <w:rPr>
          <w:rFonts w:ascii="Times New Roman" w:hAnsi="Times New Roman" w:cs="Times New Roman"/>
          <w:sz w:val="24"/>
          <w:szCs w:val="24"/>
        </w:rPr>
        <w:t xml:space="preserve">a. Publish </w:t>
      </w:r>
      <w:r w:rsidRPr="00DB6BC5">
        <w:rPr>
          <w:rFonts w:ascii="Times New Roman" w:hAnsi="Times New Roman" w:cs="Times New Roman"/>
          <w:sz w:val="24"/>
          <w:szCs w:val="24"/>
          <w:lang w:val="sr-Latn-RS"/>
        </w:rPr>
        <w:t xml:space="preserve">work </w:t>
      </w:r>
      <w:r w:rsidRPr="00DB6BC5">
        <w:rPr>
          <w:rFonts w:ascii="Times New Roman" w:hAnsi="Times New Roman" w:cs="Times New Roman"/>
          <w:sz w:val="24"/>
          <w:szCs w:val="24"/>
        </w:rPr>
        <w:t>plans and programs;</w:t>
      </w:r>
    </w:p>
    <w:p w14:paraId="1E9F0549" w14:textId="56301173" w:rsidR="000D7DB1" w:rsidRPr="00DB6BC5" w:rsidRDefault="000D7DB1" w:rsidP="00DB6BC5">
      <w:pPr>
        <w:pStyle w:val="ListParagraph"/>
        <w:jc w:val="both"/>
        <w:rPr>
          <w:rFonts w:ascii="Times New Roman" w:hAnsi="Times New Roman" w:cs="Times New Roman"/>
          <w:sz w:val="24"/>
          <w:szCs w:val="24"/>
        </w:rPr>
      </w:pPr>
      <w:r w:rsidRPr="00DB6BC5">
        <w:rPr>
          <w:rFonts w:ascii="Times New Roman" w:hAnsi="Times New Roman" w:cs="Times New Roman"/>
          <w:sz w:val="24"/>
          <w:szCs w:val="24"/>
        </w:rPr>
        <w:t>b. Publish work</w:t>
      </w:r>
      <w:r w:rsidRPr="00DB6BC5">
        <w:rPr>
          <w:rFonts w:ascii="Times New Roman" w:hAnsi="Times New Roman" w:cs="Times New Roman"/>
          <w:sz w:val="24"/>
          <w:szCs w:val="24"/>
          <w:lang w:val="sr-Latn-RS"/>
        </w:rPr>
        <w:t xml:space="preserve"> reports</w:t>
      </w:r>
      <w:r w:rsidRPr="00DB6BC5">
        <w:rPr>
          <w:rFonts w:ascii="Times New Roman" w:hAnsi="Times New Roman" w:cs="Times New Roman"/>
          <w:sz w:val="24"/>
          <w:szCs w:val="24"/>
        </w:rPr>
        <w:t>;</w:t>
      </w:r>
    </w:p>
    <w:p w14:paraId="5E356BBB" w14:textId="77777777" w:rsidR="000D7DB1" w:rsidRPr="00DB6BC5" w:rsidRDefault="000D7DB1" w:rsidP="00DB6BC5">
      <w:pPr>
        <w:pStyle w:val="ListParagraph"/>
        <w:jc w:val="both"/>
        <w:rPr>
          <w:rFonts w:ascii="Times New Roman" w:hAnsi="Times New Roman" w:cs="Times New Roman"/>
          <w:sz w:val="24"/>
          <w:szCs w:val="24"/>
        </w:rPr>
      </w:pPr>
      <w:r w:rsidRPr="00DB6BC5">
        <w:rPr>
          <w:rFonts w:ascii="Times New Roman" w:hAnsi="Times New Roman" w:cs="Times New Roman"/>
          <w:sz w:val="24"/>
          <w:szCs w:val="24"/>
        </w:rPr>
        <w:lastRenderedPageBreak/>
        <w:t>c. Publish information on the use of budget funds (budgets, final accounts, reports). Also, ministries should provide full information on plans, calls, decisions and public procurement contracts on their websites;</w:t>
      </w:r>
    </w:p>
    <w:p w14:paraId="1F3F42B5" w14:textId="094AB8F4" w:rsidR="000D7DB1" w:rsidRPr="00DB6BC5" w:rsidRDefault="000D7DB1" w:rsidP="00DB6BC5">
      <w:pPr>
        <w:pStyle w:val="ListParagraph"/>
        <w:numPr>
          <w:ilvl w:val="0"/>
          <w:numId w:val="5"/>
        </w:numPr>
        <w:jc w:val="both"/>
        <w:rPr>
          <w:rFonts w:ascii="Times New Roman" w:hAnsi="Times New Roman" w:cs="Times New Roman"/>
          <w:sz w:val="24"/>
          <w:szCs w:val="24"/>
        </w:rPr>
      </w:pPr>
      <w:r w:rsidRPr="00DB6BC5">
        <w:rPr>
          <w:rFonts w:ascii="Times New Roman" w:hAnsi="Times New Roman" w:cs="Times New Roman"/>
          <w:sz w:val="24"/>
          <w:szCs w:val="24"/>
        </w:rPr>
        <w:t>Provide citizens with unhindered access to information of public importance</w:t>
      </w:r>
      <w:r w:rsidRPr="00DB6BC5">
        <w:rPr>
          <w:rFonts w:ascii="Times New Roman" w:hAnsi="Times New Roman" w:cs="Times New Roman"/>
          <w:sz w:val="24"/>
          <w:szCs w:val="24"/>
          <w:lang w:val="sr-Latn-RS"/>
        </w:rPr>
        <w:t xml:space="preserve">, through the </w:t>
      </w:r>
      <w:r w:rsidRPr="00DB6BC5">
        <w:rPr>
          <w:rFonts w:ascii="Times New Roman" w:hAnsi="Times New Roman" w:cs="Times New Roman"/>
          <w:sz w:val="24"/>
          <w:szCs w:val="24"/>
        </w:rPr>
        <w:t>publication of the Guide to Free Access to Information, contact person responsible for handling the requests for free access to information and information that was granted access on request.</w:t>
      </w:r>
      <w:r w:rsidRPr="00DB6BC5">
        <w:rPr>
          <w:rFonts w:ascii="Times New Roman" w:hAnsi="Times New Roman" w:cs="Times New Roman"/>
          <w:sz w:val="24"/>
          <w:szCs w:val="24"/>
          <w:lang w:val="sr-Latn-RS"/>
        </w:rPr>
        <w:t xml:space="preserve"> </w:t>
      </w:r>
      <w:r w:rsidRPr="00DB6BC5">
        <w:rPr>
          <w:rFonts w:ascii="Times New Roman" w:hAnsi="Times New Roman" w:cs="Times New Roman"/>
          <w:sz w:val="24"/>
          <w:szCs w:val="24"/>
          <w:lang w:val="en"/>
        </w:rPr>
        <w:t>Continue to conduct and participate in training courses in the field of free access to information;</w:t>
      </w:r>
    </w:p>
    <w:p w14:paraId="1FB0005B" w14:textId="273FBEF4" w:rsidR="000D7DB1" w:rsidRPr="00DB6BC5" w:rsidRDefault="000D7DB1" w:rsidP="00DB6BC5">
      <w:pPr>
        <w:pStyle w:val="ListParagraph"/>
        <w:numPr>
          <w:ilvl w:val="0"/>
          <w:numId w:val="5"/>
        </w:numPr>
        <w:jc w:val="both"/>
        <w:rPr>
          <w:rFonts w:ascii="Times New Roman" w:hAnsi="Times New Roman" w:cs="Times New Roman"/>
          <w:b/>
          <w:sz w:val="24"/>
          <w:szCs w:val="24"/>
        </w:rPr>
      </w:pPr>
      <w:r w:rsidRPr="00DB6BC5">
        <w:rPr>
          <w:rFonts w:ascii="Times New Roman" w:hAnsi="Times New Roman" w:cs="Times New Roman"/>
          <w:sz w:val="24"/>
          <w:szCs w:val="24"/>
        </w:rPr>
        <w:t>Improve communication and interaction with citizens</w:t>
      </w:r>
      <w:r w:rsidRPr="00DB6BC5">
        <w:rPr>
          <w:rFonts w:ascii="Times New Roman" w:hAnsi="Times New Roman" w:cs="Times New Roman"/>
          <w:sz w:val="24"/>
          <w:szCs w:val="24"/>
          <w:lang w:val="sr-Latn-RS"/>
        </w:rPr>
        <w:t xml:space="preserve">, </w:t>
      </w:r>
      <w:r w:rsidRPr="00DB6BC5">
        <w:rPr>
          <w:rFonts w:ascii="Times New Roman" w:hAnsi="Times New Roman" w:cs="Times New Roman"/>
          <w:sz w:val="24"/>
          <w:szCs w:val="24"/>
          <w:lang w:val="en"/>
        </w:rPr>
        <w:t>by opening accounts on social networks and establishing a direct channel for communicating with citizens that would serve for submitting individual issues and requests by citizens. In this way, citizens would be able to contact the ministry representatives in a quick and easy way. In this respect, a good practice would also be the creation of a ministry's communication strategy;</w:t>
      </w:r>
    </w:p>
    <w:p w14:paraId="0E1DC202" w14:textId="65FAF949" w:rsidR="0043084C" w:rsidRPr="00DB6BC5" w:rsidRDefault="005C29AA" w:rsidP="00DB6BC5">
      <w:pPr>
        <w:pStyle w:val="ListParagraph"/>
        <w:numPr>
          <w:ilvl w:val="0"/>
          <w:numId w:val="5"/>
        </w:numPr>
        <w:jc w:val="both"/>
        <w:rPr>
          <w:rFonts w:ascii="Times New Roman" w:hAnsi="Times New Roman" w:cs="Times New Roman"/>
          <w:sz w:val="24"/>
          <w:szCs w:val="24"/>
        </w:rPr>
      </w:pPr>
      <w:r w:rsidRPr="00DB6BC5">
        <w:rPr>
          <w:rFonts w:ascii="Times New Roman" w:hAnsi="Times New Roman" w:cs="Times New Roman"/>
          <w:sz w:val="24"/>
          <w:szCs w:val="24"/>
          <w:lang w:val="en"/>
        </w:rPr>
        <w:t>Publish documents collected during public consultations (calls, programs, reports from public consultations).</w:t>
      </w:r>
    </w:p>
    <w:p w14:paraId="1C92525D" w14:textId="4F145742" w:rsidR="0043084C" w:rsidRPr="00DB6BC5" w:rsidRDefault="005C29AA" w:rsidP="00DB6BC5">
      <w:pPr>
        <w:jc w:val="both"/>
        <w:rPr>
          <w:rFonts w:ascii="Times New Roman" w:hAnsi="Times New Roman" w:cs="Times New Roman"/>
          <w:b/>
          <w:bCs/>
          <w:sz w:val="24"/>
          <w:szCs w:val="24"/>
        </w:rPr>
      </w:pPr>
      <w:r w:rsidRPr="00DB6BC5">
        <w:rPr>
          <w:rFonts w:ascii="Times New Roman" w:hAnsi="Times New Roman" w:cs="Times New Roman"/>
          <w:b/>
          <w:bCs/>
          <w:sz w:val="24"/>
          <w:szCs w:val="24"/>
        </w:rPr>
        <w:t>Administration bodies</w:t>
      </w:r>
    </w:p>
    <w:p w14:paraId="3951CDD8" w14:textId="77777777" w:rsidR="005C29AA" w:rsidRPr="00DB6BC5" w:rsidRDefault="005C29AA" w:rsidP="00DB6BC5">
      <w:pPr>
        <w:jc w:val="both"/>
        <w:rPr>
          <w:rFonts w:ascii="Times New Roman" w:hAnsi="Times New Roman" w:cs="Times New Roman"/>
          <w:sz w:val="24"/>
          <w:szCs w:val="24"/>
        </w:rPr>
      </w:pPr>
      <w:r w:rsidRPr="00DB6BC5">
        <w:rPr>
          <w:rFonts w:ascii="Times New Roman" w:hAnsi="Times New Roman" w:cs="Times New Roman"/>
          <w:sz w:val="24"/>
          <w:szCs w:val="24"/>
        </w:rPr>
        <w:t xml:space="preserve">On average, the administration bodies meet 36% of the openness indicators. </w:t>
      </w:r>
    </w:p>
    <w:p w14:paraId="1252B116" w14:textId="77777777" w:rsidR="005C29AA" w:rsidRPr="00DB6BC5" w:rsidRDefault="005C29AA" w:rsidP="00DB6BC5">
      <w:pPr>
        <w:jc w:val="both"/>
        <w:rPr>
          <w:rFonts w:ascii="Times New Roman" w:hAnsi="Times New Roman" w:cs="Times New Roman"/>
          <w:sz w:val="24"/>
          <w:szCs w:val="24"/>
        </w:rPr>
      </w:pPr>
      <w:r w:rsidRPr="00DB6BC5">
        <w:rPr>
          <w:rFonts w:ascii="Times New Roman" w:hAnsi="Times New Roman" w:cs="Times New Roman"/>
          <w:sz w:val="24"/>
          <w:szCs w:val="24"/>
        </w:rPr>
        <w:t>A large number of administration bodies are not committed to meeting the highest standards of openness, and not even to meeting the legal minimum of proactive disclosure of information. Such practice is unacceptable and needs to be changed urgently.</w:t>
      </w:r>
    </w:p>
    <w:p w14:paraId="06E0B2FC" w14:textId="4C8D2B41" w:rsidR="002F02FC" w:rsidRPr="00DB6BC5" w:rsidRDefault="005C29AA" w:rsidP="00DB6BC5">
      <w:pPr>
        <w:jc w:val="both"/>
        <w:rPr>
          <w:rFonts w:ascii="Times New Roman" w:hAnsi="Times New Roman" w:cs="Times New Roman"/>
          <w:sz w:val="24"/>
          <w:szCs w:val="24"/>
        </w:rPr>
      </w:pPr>
      <w:r w:rsidRPr="00DB6BC5">
        <w:rPr>
          <w:rFonts w:ascii="Times New Roman" w:hAnsi="Times New Roman" w:cs="Times New Roman"/>
          <w:sz w:val="24"/>
          <w:szCs w:val="24"/>
        </w:rPr>
        <w:t>Having in mind the alarmingly bad result in this area, we believe that the administration bodies must urgently start with the following activities:</w:t>
      </w:r>
    </w:p>
    <w:p w14:paraId="4CC11E95" w14:textId="7D91D50D" w:rsidR="005C29AA" w:rsidRPr="00DB6BC5" w:rsidRDefault="005C29AA" w:rsidP="00DB6BC5">
      <w:pPr>
        <w:pStyle w:val="ListParagraph"/>
        <w:numPr>
          <w:ilvl w:val="0"/>
          <w:numId w:val="6"/>
        </w:numPr>
        <w:spacing w:after="0"/>
        <w:jc w:val="both"/>
        <w:rPr>
          <w:rFonts w:ascii="Times New Roman" w:eastAsia="Times New Roman" w:hAnsi="Times New Roman" w:cs="Times New Roman"/>
          <w:sz w:val="24"/>
          <w:szCs w:val="24"/>
          <w:lang w:val="en-US" w:eastAsia="en-GB"/>
        </w:rPr>
      </w:pPr>
      <w:r w:rsidRPr="00DB6BC5">
        <w:rPr>
          <w:rFonts w:ascii="Times New Roman" w:hAnsi="Times New Roman" w:cs="Times New Roman"/>
          <w:sz w:val="24"/>
          <w:szCs w:val="24"/>
        </w:rPr>
        <w:t>Regularly update the websites;</w:t>
      </w:r>
    </w:p>
    <w:p w14:paraId="3FF86446" w14:textId="20F48C23" w:rsidR="005C29AA" w:rsidRPr="00DB6BC5" w:rsidRDefault="005C29AA" w:rsidP="00DB6BC5">
      <w:pPr>
        <w:pStyle w:val="ListParagraph"/>
        <w:numPr>
          <w:ilvl w:val="0"/>
          <w:numId w:val="6"/>
        </w:numPr>
        <w:spacing w:after="0"/>
        <w:jc w:val="both"/>
        <w:rPr>
          <w:rFonts w:ascii="Times New Roman" w:eastAsia="Times New Roman" w:hAnsi="Times New Roman" w:cs="Times New Roman"/>
          <w:sz w:val="24"/>
          <w:szCs w:val="24"/>
          <w:lang w:val="en-US" w:eastAsia="en-GB"/>
        </w:rPr>
      </w:pPr>
      <w:r w:rsidRPr="00DB6BC5">
        <w:rPr>
          <w:rFonts w:ascii="Times New Roman" w:eastAsia="Times New Roman" w:hAnsi="Times New Roman" w:cs="Times New Roman"/>
          <w:sz w:val="24"/>
          <w:szCs w:val="24"/>
          <w:lang w:val="en-US" w:eastAsia="en-GB"/>
        </w:rPr>
        <w:t>Publish data in open data format;</w:t>
      </w:r>
    </w:p>
    <w:p w14:paraId="52E14D23" w14:textId="389221FB" w:rsidR="005C29AA" w:rsidRPr="00DB6BC5" w:rsidRDefault="005C29AA" w:rsidP="00DB6BC5">
      <w:pPr>
        <w:pStyle w:val="ListParagraph"/>
        <w:numPr>
          <w:ilvl w:val="0"/>
          <w:numId w:val="6"/>
        </w:numPr>
        <w:jc w:val="both"/>
        <w:rPr>
          <w:rFonts w:ascii="Times New Roman" w:hAnsi="Times New Roman" w:cs="Times New Roman"/>
          <w:sz w:val="24"/>
          <w:szCs w:val="24"/>
        </w:rPr>
      </w:pPr>
      <w:r w:rsidRPr="00DB6BC5">
        <w:rPr>
          <w:rFonts w:ascii="Times New Roman" w:hAnsi="Times New Roman" w:cs="Times New Roman"/>
          <w:sz w:val="24"/>
          <w:szCs w:val="24"/>
          <w:lang w:val="sr-Latn-RS"/>
        </w:rPr>
        <w:t>P</w:t>
      </w:r>
      <w:r w:rsidRPr="00DB6BC5">
        <w:rPr>
          <w:rFonts w:ascii="Times New Roman" w:hAnsi="Times New Roman" w:cs="Times New Roman"/>
          <w:sz w:val="24"/>
          <w:szCs w:val="24"/>
        </w:rPr>
        <w:t>ublish information on the work of the authorities, in accordance with the Law on Free Access to Information</w:t>
      </w:r>
      <w:r w:rsidRPr="00DB6BC5">
        <w:rPr>
          <w:rFonts w:ascii="Times New Roman" w:hAnsi="Times New Roman" w:cs="Times New Roman"/>
          <w:sz w:val="24"/>
          <w:szCs w:val="24"/>
          <w:lang w:val="sr-Latn-RS"/>
        </w:rPr>
        <w:t>:</w:t>
      </w:r>
    </w:p>
    <w:p w14:paraId="03DD6387" w14:textId="70022B17" w:rsidR="00121D44" w:rsidRPr="00DB6BC5" w:rsidRDefault="00DB6BC5" w:rsidP="00DB6BC5">
      <w:pPr>
        <w:pStyle w:val="ListParagraph"/>
        <w:numPr>
          <w:ilvl w:val="0"/>
          <w:numId w:val="12"/>
        </w:numPr>
        <w:spacing w:after="0"/>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work plans and program</w:t>
      </w:r>
      <w:r w:rsidR="005C29AA" w:rsidRPr="00DB6BC5">
        <w:rPr>
          <w:rFonts w:ascii="Times New Roman" w:eastAsia="Times New Roman" w:hAnsi="Times New Roman" w:cs="Times New Roman"/>
          <w:sz w:val="24"/>
          <w:szCs w:val="24"/>
          <w:lang w:val="en-US" w:eastAsia="en-GB"/>
        </w:rPr>
        <w:t>s</w:t>
      </w:r>
      <w:r w:rsidR="00D00F6B" w:rsidRPr="00DB6BC5">
        <w:rPr>
          <w:rFonts w:ascii="Times New Roman" w:eastAsia="Times New Roman" w:hAnsi="Times New Roman" w:cs="Times New Roman"/>
          <w:sz w:val="24"/>
          <w:szCs w:val="24"/>
          <w:lang w:val="en-US" w:eastAsia="en-GB"/>
        </w:rPr>
        <w:t>;</w:t>
      </w:r>
    </w:p>
    <w:p w14:paraId="5D848945" w14:textId="0F40ED97" w:rsidR="00121D44" w:rsidRPr="00DB6BC5" w:rsidRDefault="005C29AA" w:rsidP="00DB6BC5">
      <w:pPr>
        <w:pStyle w:val="ListParagraph"/>
        <w:numPr>
          <w:ilvl w:val="0"/>
          <w:numId w:val="12"/>
        </w:numPr>
        <w:spacing w:after="0"/>
        <w:jc w:val="both"/>
        <w:rPr>
          <w:rFonts w:ascii="Times New Roman" w:eastAsia="Times New Roman" w:hAnsi="Times New Roman" w:cs="Times New Roman"/>
          <w:sz w:val="24"/>
          <w:szCs w:val="24"/>
          <w:lang w:val="en-US" w:eastAsia="en-GB"/>
        </w:rPr>
      </w:pPr>
      <w:r w:rsidRPr="00DB6BC5">
        <w:rPr>
          <w:rFonts w:ascii="Times New Roman" w:eastAsia="Times New Roman" w:hAnsi="Times New Roman" w:cs="Times New Roman"/>
          <w:sz w:val="24"/>
          <w:szCs w:val="24"/>
          <w:lang w:val="en-US" w:eastAsia="en-GB"/>
        </w:rPr>
        <w:t>work reports</w:t>
      </w:r>
      <w:r w:rsidR="00D00F6B" w:rsidRPr="00DB6BC5">
        <w:rPr>
          <w:rFonts w:ascii="Times New Roman" w:eastAsia="Times New Roman" w:hAnsi="Times New Roman" w:cs="Times New Roman"/>
          <w:sz w:val="24"/>
          <w:szCs w:val="24"/>
          <w:lang w:val="en-US" w:eastAsia="en-GB"/>
        </w:rPr>
        <w:t>;</w:t>
      </w:r>
    </w:p>
    <w:p w14:paraId="4DCC6FCC" w14:textId="5A79F4F3" w:rsidR="005C29AA" w:rsidRPr="00DB6BC5" w:rsidRDefault="005C29AA" w:rsidP="00DB6BC5">
      <w:pPr>
        <w:pStyle w:val="ListParagraph"/>
        <w:numPr>
          <w:ilvl w:val="0"/>
          <w:numId w:val="12"/>
        </w:numPr>
        <w:spacing w:after="0"/>
        <w:jc w:val="both"/>
        <w:rPr>
          <w:rFonts w:ascii="Times New Roman" w:eastAsia="Times New Roman" w:hAnsi="Times New Roman" w:cs="Times New Roman"/>
          <w:sz w:val="24"/>
          <w:szCs w:val="24"/>
          <w:lang w:val="en-US" w:eastAsia="en-GB"/>
        </w:rPr>
      </w:pPr>
      <w:r w:rsidRPr="00DB6BC5">
        <w:rPr>
          <w:rFonts w:ascii="Times New Roman" w:hAnsi="Times New Roman" w:cs="Times New Roman"/>
          <w:sz w:val="24"/>
          <w:szCs w:val="24"/>
          <w:lang w:val="sr-Latn-RS"/>
        </w:rPr>
        <w:t>list of</w:t>
      </w:r>
      <w:r w:rsidRPr="00DB6BC5">
        <w:rPr>
          <w:rFonts w:ascii="Times New Roman" w:hAnsi="Times New Roman" w:cs="Times New Roman"/>
          <w:sz w:val="24"/>
          <w:szCs w:val="24"/>
        </w:rPr>
        <w:t xml:space="preserve"> civil servants and employees with their official titles</w:t>
      </w:r>
      <w:r w:rsidRPr="00DB6BC5">
        <w:rPr>
          <w:rFonts w:ascii="Times New Roman" w:hAnsi="Times New Roman" w:cs="Times New Roman"/>
          <w:sz w:val="24"/>
          <w:szCs w:val="24"/>
          <w:lang w:val="sr-Latn-RS"/>
        </w:rPr>
        <w:t>;</w:t>
      </w:r>
    </w:p>
    <w:p w14:paraId="0E60C8E0" w14:textId="3304CEB0" w:rsidR="00121D44" w:rsidRPr="00DB6BC5" w:rsidRDefault="005C29AA" w:rsidP="00DB6BC5">
      <w:pPr>
        <w:pStyle w:val="ListParagraph"/>
        <w:numPr>
          <w:ilvl w:val="0"/>
          <w:numId w:val="12"/>
        </w:numPr>
        <w:spacing w:after="0"/>
        <w:jc w:val="both"/>
        <w:rPr>
          <w:rFonts w:ascii="Times New Roman" w:eastAsia="Times New Roman" w:hAnsi="Times New Roman" w:cs="Times New Roman"/>
          <w:sz w:val="24"/>
          <w:szCs w:val="24"/>
          <w:lang w:val="en-US" w:eastAsia="en-GB"/>
        </w:rPr>
      </w:pPr>
      <w:r w:rsidRPr="00DB6BC5">
        <w:rPr>
          <w:rFonts w:ascii="Times New Roman" w:eastAsia="Times New Roman" w:hAnsi="Times New Roman" w:cs="Times New Roman"/>
          <w:sz w:val="24"/>
          <w:szCs w:val="24"/>
          <w:lang w:val="en-US" w:eastAsia="en-GB"/>
        </w:rPr>
        <w:t xml:space="preserve"> </w:t>
      </w:r>
      <w:r w:rsidRPr="00DB6BC5">
        <w:rPr>
          <w:rFonts w:ascii="Times New Roman" w:hAnsi="Times New Roman" w:cs="Times New Roman"/>
          <w:sz w:val="24"/>
          <w:szCs w:val="24"/>
        </w:rPr>
        <w:t>information on salaries of public officials;</w:t>
      </w:r>
    </w:p>
    <w:p w14:paraId="124FC476" w14:textId="77777777" w:rsidR="005C29AA" w:rsidRPr="00DB6BC5" w:rsidRDefault="005C29AA" w:rsidP="00DB6BC5">
      <w:pPr>
        <w:pStyle w:val="ListParagraph"/>
        <w:numPr>
          <w:ilvl w:val="0"/>
          <w:numId w:val="12"/>
        </w:numPr>
        <w:spacing w:after="0"/>
        <w:jc w:val="both"/>
        <w:rPr>
          <w:rFonts w:ascii="Times New Roman" w:eastAsia="Times New Roman" w:hAnsi="Times New Roman" w:cs="Times New Roman"/>
          <w:sz w:val="24"/>
          <w:szCs w:val="24"/>
          <w:lang w:val="en-US" w:eastAsia="en-GB"/>
        </w:rPr>
      </w:pPr>
      <w:r w:rsidRPr="00DB6BC5">
        <w:rPr>
          <w:rFonts w:ascii="Times New Roman" w:hAnsi="Times New Roman" w:cs="Times New Roman"/>
          <w:sz w:val="24"/>
          <w:szCs w:val="24"/>
          <w:lang w:val="en"/>
        </w:rPr>
        <w:t>financial information (budgets, final accounts, public procurement plans, call for public procurement procedure, decision on public procurement procedure, contracts and annexes);</w:t>
      </w:r>
    </w:p>
    <w:p w14:paraId="6A9005FF" w14:textId="31FCFD79" w:rsidR="00121D44" w:rsidRPr="00DB6BC5" w:rsidRDefault="005C29AA" w:rsidP="00DB6BC5">
      <w:pPr>
        <w:pStyle w:val="ListParagraph"/>
        <w:numPr>
          <w:ilvl w:val="0"/>
          <w:numId w:val="12"/>
        </w:numPr>
        <w:spacing w:after="0"/>
        <w:jc w:val="both"/>
        <w:rPr>
          <w:rFonts w:ascii="Times New Roman" w:eastAsia="Times New Roman" w:hAnsi="Times New Roman" w:cs="Times New Roman"/>
          <w:sz w:val="24"/>
          <w:szCs w:val="24"/>
          <w:lang w:val="en-US" w:eastAsia="en-GB"/>
        </w:rPr>
      </w:pPr>
      <w:r w:rsidRPr="00DB6BC5">
        <w:rPr>
          <w:rFonts w:ascii="Times New Roman" w:eastAsia="Times New Roman" w:hAnsi="Times New Roman" w:cs="Times New Roman"/>
          <w:sz w:val="24"/>
          <w:szCs w:val="24"/>
          <w:lang w:val="en-US" w:eastAsia="en-GB"/>
        </w:rPr>
        <w:t xml:space="preserve">updated </w:t>
      </w:r>
      <w:r w:rsidRPr="00DB6BC5">
        <w:rPr>
          <w:rFonts w:ascii="Times New Roman" w:hAnsi="Times New Roman" w:cs="Times New Roman"/>
          <w:sz w:val="24"/>
          <w:szCs w:val="24"/>
        </w:rPr>
        <w:t>Guide for Free Access to Information</w:t>
      </w:r>
      <w:r w:rsidRPr="00DB6BC5">
        <w:rPr>
          <w:rFonts w:ascii="Times New Roman" w:eastAsia="Times New Roman" w:hAnsi="Times New Roman" w:cs="Times New Roman"/>
          <w:sz w:val="24"/>
          <w:szCs w:val="24"/>
          <w:lang w:val="en-US" w:eastAsia="en-GB"/>
        </w:rPr>
        <w:t>;</w:t>
      </w:r>
    </w:p>
    <w:p w14:paraId="6755C563" w14:textId="77777777" w:rsidR="005C29AA" w:rsidRPr="00DB6BC5" w:rsidRDefault="005C29AA" w:rsidP="00DB6BC5">
      <w:pPr>
        <w:pStyle w:val="ListParagraph"/>
        <w:numPr>
          <w:ilvl w:val="0"/>
          <w:numId w:val="12"/>
        </w:numPr>
        <w:jc w:val="both"/>
        <w:rPr>
          <w:rFonts w:ascii="Times New Roman" w:hAnsi="Times New Roman" w:cs="Times New Roman"/>
          <w:sz w:val="24"/>
          <w:szCs w:val="24"/>
        </w:rPr>
      </w:pPr>
      <w:r w:rsidRPr="00DB6BC5">
        <w:rPr>
          <w:rFonts w:ascii="Times New Roman" w:hAnsi="Times New Roman" w:cs="Times New Roman"/>
          <w:sz w:val="24"/>
          <w:szCs w:val="24"/>
        </w:rPr>
        <w:lastRenderedPageBreak/>
        <w:t>contact details of the officer responsible for handling the requests;</w:t>
      </w:r>
    </w:p>
    <w:p w14:paraId="3DD7C235" w14:textId="77777777" w:rsidR="005C29AA" w:rsidRPr="00DB6BC5" w:rsidRDefault="005C29AA" w:rsidP="00DB6BC5">
      <w:pPr>
        <w:pStyle w:val="ListParagraph"/>
        <w:numPr>
          <w:ilvl w:val="0"/>
          <w:numId w:val="12"/>
        </w:numPr>
        <w:jc w:val="both"/>
        <w:rPr>
          <w:rFonts w:ascii="Times New Roman" w:hAnsi="Times New Roman" w:cs="Times New Roman"/>
          <w:sz w:val="24"/>
          <w:szCs w:val="24"/>
        </w:rPr>
      </w:pPr>
      <w:r w:rsidRPr="00DB6BC5">
        <w:rPr>
          <w:rFonts w:ascii="Times New Roman" w:hAnsi="Times New Roman" w:cs="Times New Roman"/>
          <w:sz w:val="24"/>
          <w:szCs w:val="24"/>
          <w:lang w:val="en"/>
        </w:rPr>
        <w:t>database with information to which access is granted upon request;</w:t>
      </w:r>
    </w:p>
    <w:p w14:paraId="701808F2" w14:textId="19424E50" w:rsidR="005E5D86" w:rsidRPr="00DB6BC5" w:rsidRDefault="005C29AA" w:rsidP="00DB6BC5">
      <w:pPr>
        <w:pStyle w:val="ListParagraph"/>
        <w:numPr>
          <w:ilvl w:val="0"/>
          <w:numId w:val="17"/>
        </w:numPr>
        <w:jc w:val="both"/>
        <w:rPr>
          <w:rFonts w:ascii="Times New Roman" w:hAnsi="Times New Roman" w:cs="Times New Roman"/>
          <w:sz w:val="24"/>
          <w:szCs w:val="24"/>
        </w:rPr>
      </w:pPr>
      <w:r w:rsidRPr="00DB6BC5">
        <w:rPr>
          <w:rFonts w:ascii="Times New Roman" w:hAnsi="Times New Roman" w:cs="Times New Roman"/>
          <w:sz w:val="24"/>
          <w:szCs w:val="24"/>
          <w:lang w:val="en"/>
        </w:rPr>
        <w:t>Improve communication and interaction with citizens by opening accounts on social networks.</w:t>
      </w:r>
    </w:p>
    <w:p w14:paraId="7AD24867" w14:textId="77777777" w:rsidR="00FC72F5" w:rsidRDefault="00FC72F5" w:rsidP="00DB6BC5">
      <w:pPr>
        <w:pStyle w:val="ListParagraph"/>
        <w:jc w:val="both"/>
        <w:rPr>
          <w:rFonts w:ascii="Times New Roman" w:hAnsi="Times New Roman" w:cs="Times New Roman"/>
          <w:sz w:val="24"/>
          <w:szCs w:val="24"/>
        </w:rPr>
      </w:pPr>
    </w:p>
    <w:p w14:paraId="7092477F" w14:textId="77777777" w:rsidR="00DB6BC5" w:rsidRDefault="00DB6BC5" w:rsidP="00DB6BC5">
      <w:pPr>
        <w:pStyle w:val="ListParagraph"/>
        <w:jc w:val="both"/>
        <w:rPr>
          <w:rFonts w:ascii="Times New Roman" w:hAnsi="Times New Roman" w:cs="Times New Roman"/>
          <w:sz w:val="24"/>
          <w:szCs w:val="24"/>
        </w:rPr>
      </w:pPr>
    </w:p>
    <w:p w14:paraId="36CDD3DD" w14:textId="77777777" w:rsidR="00DB6BC5" w:rsidRDefault="00DB6BC5" w:rsidP="00DB6BC5">
      <w:pPr>
        <w:pStyle w:val="ListParagraph"/>
        <w:jc w:val="both"/>
        <w:rPr>
          <w:rFonts w:ascii="Times New Roman" w:hAnsi="Times New Roman" w:cs="Times New Roman"/>
          <w:sz w:val="24"/>
          <w:szCs w:val="24"/>
        </w:rPr>
      </w:pPr>
    </w:p>
    <w:p w14:paraId="1145A186" w14:textId="77777777" w:rsidR="00DB6BC5" w:rsidRDefault="00DB6BC5" w:rsidP="00DB6BC5">
      <w:pPr>
        <w:pStyle w:val="ListParagraph"/>
        <w:jc w:val="both"/>
        <w:rPr>
          <w:rFonts w:ascii="Times New Roman" w:hAnsi="Times New Roman" w:cs="Times New Roman"/>
          <w:sz w:val="24"/>
          <w:szCs w:val="24"/>
        </w:rPr>
      </w:pPr>
    </w:p>
    <w:p w14:paraId="37525C29" w14:textId="77777777" w:rsidR="00DB6BC5" w:rsidRDefault="00DB6BC5" w:rsidP="00DB6BC5">
      <w:pPr>
        <w:pStyle w:val="ListParagraph"/>
        <w:jc w:val="both"/>
        <w:rPr>
          <w:rFonts w:ascii="Times New Roman" w:hAnsi="Times New Roman" w:cs="Times New Roman"/>
          <w:sz w:val="24"/>
          <w:szCs w:val="24"/>
        </w:rPr>
      </w:pPr>
    </w:p>
    <w:p w14:paraId="6DA6597F" w14:textId="77777777" w:rsidR="00DB6BC5" w:rsidRDefault="00DB6BC5" w:rsidP="00DB6BC5">
      <w:pPr>
        <w:pStyle w:val="ListParagraph"/>
        <w:jc w:val="both"/>
        <w:rPr>
          <w:rFonts w:ascii="Times New Roman" w:hAnsi="Times New Roman" w:cs="Times New Roman"/>
          <w:sz w:val="24"/>
          <w:szCs w:val="24"/>
        </w:rPr>
      </w:pPr>
    </w:p>
    <w:p w14:paraId="21C45DB7" w14:textId="77777777" w:rsidR="00DB6BC5" w:rsidRDefault="00DB6BC5" w:rsidP="00DB6BC5">
      <w:pPr>
        <w:pStyle w:val="ListParagraph"/>
        <w:jc w:val="both"/>
        <w:rPr>
          <w:rFonts w:ascii="Times New Roman" w:hAnsi="Times New Roman" w:cs="Times New Roman"/>
          <w:sz w:val="24"/>
          <w:szCs w:val="24"/>
        </w:rPr>
      </w:pPr>
    </w:p>
    <w:p w14:paraId="054C03A2" w14:textId="77777777" w:rsidR="00DB6BC5" w:rsidRDefault="00DB6BC5" w:rsidP="00DB6BC5">
      <w:pPr>
        <w:pStyle w:val="ListParagraph"/>
        <w:jc w:val="both"/>
        <w:rPr>
          <w:rFonts w:ascii="Times New Roman" w:hAnsi="Times New Roman" w:cs="Times New Roman"/>
          <w:sz w:val="24"/>
          <w:szCs w:val="24"/>
        </w:rPr>
      </w:pPr>
    </w:p>
    <w:p w14:paraId="503422A3" w14:textId="77777777" w:rsidR="00DB6BC5" w:rsidRDefault="00DB6BC5" w:rsidP="00DB6BC5">
      <w:pPr>
        <w:pStyle w:val="ListParagraph"/>
        <w:jc w:val="both"/>
        <w:rPr>
          <w:rFonts w:ascii="Times New Roman" w:hAnsi="Times New Roman" w:cs="Times New Roman"/>
          <w:sz w:val="24"/>
          <w:szCs w:val="24"/>
        </w:rPr>
      </w:pPr>
    </w:p>
    <w:p w14:paraId="7B21974F" w14:textId="77777777" w:rsidR="00DB6BC5" w:rsidRDefault="00DB6BC5" w:rsidP="00DB6BC5">
      <w:pPr>
        <w:pStyle w:val="ListParagraph"/>
        <w:jc w:val="both"/>
        <w:rPr>
          <w:rFonts w:ascii="Times New Roman" w:hAnsi="Times New Roman" w:cs="Times New Roman"/>
          <w:sz w:val="24"/>
          <w:szCs w:val="24"/>
        </w:rPr>
      </w:pPr>
    </w:p>
    <w:p w14:paraId="52B6B892" w14:textId="77777777" w:rsidR="00DB6BC5" w:rsidRDefault="00DB6BC5" w:rsidP="00DB6BC5">
      <w:pPr>
        <w:pStyle w:val="ListParagraph"/>
        <w:jc w:val="both"/>
        <w:rPr>
          <w:rFonts w:ascii="Times New Roman" w:hAnsi="Times New Roman" w:cs="Times New Roman"/>
          <w:sz w:val="24"/>
          <w:szCs w:val="24"/>
        </w:rPr>
      </w:pPr>
    </w:p>
    <w:p w14:paraId="46D39114" w14:textId="77777777" w:rsidR="00DB6BC5" w:rsidRDefault="00DB6BC5" w:rsidP="00DB6BC5">
      <w:pPr>
        <w:pStyle w:val="ListParagraph"/>
        <w:jc w:val="both"/>
        <w:rPr>
          <w:rFonts w:ascii="Times New Roman" w:hAnsi="Times New Roman" w:cs="Times New Roman"/>
          <w:sz w:val="24"/>
          <w:szCs w:val="24"/>
        </w:rPr>
      </w:pPr>
    </w:p>
    <w:p w14:paraId="3D719684" w14:textId="77777777" w:rsidR="00DB6BC5" w:rsidRDefault="00DB6BC5" w:rsidP="00DB6BC5">
      <w:pPr>
        <w:pStyle w:val="ListParagraph"/>
        <w:jc w:val="both"/>
        <w:rPr>
          <w:rFonts w:ascii="Times New Roman" w:hAnsi="Times New Roman" w:cs="Times New Roman"/>
          <w:sz w:val="24"/>
          <w:szCs w:val="24"/>
        </w:rPr>
      </w:pPr>
    </w:p>
    <w:p w14:paraId="49A80F28" w14:textId="77777777" w:rsidR="00DB6BC5" w:rsidRDefault="00DB6BC5" w:rsidP="00DB6BC5">
      <w:pPr>
        <w:pStyle w:val="ListParagraph"/>
        <w:jc w:val="both"/>
        <w:rPr>
          <w:rFonts w:ascii="Times New Roman" w:hAnsi="Times New Roman" w:cs="Times New Roman"/>
          <w:sz w:val="24"/>
          <w:szCs w:val="24"/>
        </w:rPr>
      </w:pPr>
    </w:p>
    <w:p w14:paraId="4F5A5D21" w14:textId="77777777" w:rsidR="00DB6BC5" w:rsidRDefault="00DB6BC5" w:rsidP="00DB6BC5">
      <w:pPr>
        <w:pStyle w:val="ListParagraph"/>
        <w:jc w:val="both"/>
        <w:rPr>
          <w:rFonts w:ascii="Times New Roman" w:hAnsi="Times New Roman" w:cs="Times New Roman"/>
          <w:sz w:val="24"/>
          <w:szCs w:val="24"/>
        </w:rPr>
      </w:pPr>
    </w:p>
    <w:p w14:paraId="58B38E88" w14:textId="77777777" w:rsidR="00DB6BC5" w:rsidRDefault="00DB6BC5" w:rsidP="00DB6BC5">
      <w:pPr>
        <w:pStyle w:val="ListParagraph"/>
        <w:jc w:val="both"/>
        <w:rPr>
          <w:rFonts w:ascii="Times New Roman" w:hAnsi="Times New Roman" w:cs="Times New Roman"/>
          <w:sz w:val="24"/>
          <w:szCs w:val="24"/>
        </w:rPr>
      </w:pPr>
    </w:p>
    <w:p w14:paraId="7B6FE58C" w14:textId="77777777" w:rsidR="00DB6BC5" w:rsidRDefault="00DB6BC5" w:rsidP="00DB6BC5">
      <w:pPr>
        <w:pStyle w:val="ListParagraph"/>
        <w:jc w:val="both"/>
        <w:rPr>
          <w:rFonts w:ascii="Times New Roman" w:hAnsi="Times New Roman" w:cs="Times New Roman"/>
          <w:sz w:val="24"/>
          <w:szCs w:val="24"/>
        </w:rPr>
      </w:pPr>
    </w:p>
    <w:p w14:paraId="0EC62C84" w14:textId="77777777" w:rsidR="00DB6BC5" w:rsidRDefault="00DB6BC5" w:rsidP="00DB6BC5">
      <w:pPr>
        <w:pStyle w:val="ListParagraph"/>
        <w:jc w:val="both"/>
        <w:rPr>
          <w:rFonts w:ascii="Times New Roman" w:hAnsi="Times New Roman" w:cs="Times New Roman"/>
          <w:sz w:val="24"/>
          <w:szCs w:val="24"/>
        </w:rPr>
      </w:pPr>
    </w:p>
    <w:p w14:paraId="63A672C8" w14:textId="77777777" w:rsidR="00DB6BC5" w:rsidRDefault="00DB6BC5" w:rsidP="00DB6BC5">
      <w:pPr>
        <w:pStyle w:val="ListParagraph"/>
        <w:jc w:val="both"/>
        <w:rPr>
          <w:rFonts w:ascii="Times New Roman" w:hAnsi="Times New Roman" w:cs="Times New Roman"/>
          <w:sz w:val="24"/>
          <w:szCs w:val="24"/>
        </w:rPr>
      </w:pPr>
    </w:p>
    <w:p w14:paraId="038E50A8" w14:textId="77777777" w:rsidR="00DB6BC5" w:rsidRDefault="00DB6BC5" w:rsidP="00DB6BC5">
      <w:pPr>
        <w:pStyle w:val="ListParagraph"/>
        <w:jc w:val="both"/>
        <w:rPr>
          <w:rFonts w:ascii="Times New Roman" w:hAnsi="Times New Roman" w:cs="Times New Roman"/>
          <w:sz w:val="24"/>
          <w:szCs w:val="24"/>
        </w:rPr>
      </w:pPr>
    </w:p>
    <w:p w14:paraId="05B8E306" w14:textId="77777777" w:rsidR="00DB6BC5" w:rsidRDefault="00DB6BC5" w:rsidP="00DB6BC5">
      <w:pPr>
        <w:pStyle w:val="ListParagraph"/>
        <w:jc w:val="both"/>
        <w:rPr>
          <w:rFonts w:ascii="Times New Roman" w:hAnsi="Times New Roman" w:cs="Times New Roman"/>
          <w:sz w:val="24"/>
          <w:szCs w:val="24"/>
        </w:rPr>
      </w:pPr>
    </w:p>
    <w:p w14:paraId="20EA142E" w14:textId="77777777" w:rsidR="00DB6BC5" w:rsidRPr="00DB6BC5" w:rsidRDefault="00DB6BC5" w:rsidP="00DB6BC5">
      <w:pPr>
        <w:pStyle w:val="ListParagraph"/>
        <w:jc w:val="both"/>
        <w:rPr>
          <w:rFonts w:ascii="Times New Roman" w:hAnsi="Times New Roman" w:cs="Times New Roman"/>
          <w:sz w:val="24"/>
          <w:szCs w:val="24"/>
        </w:rPr>
      </w:pPr>
    </w:p>
    <w:p w14:paraId="60BA5500" w14:textId="2437B430" w:rsidR="004A7DA4" w:rsidRPr="00DB6BC5" w:rsidRDefault="00801AD2" w:rsidP="00DB6BC5">
      <w:pPr>
        <w:pStyle w:val="ListParagraph"/>
        <w:numPr>
          <w:ilvl w:val="1"/>
          <w:numId w:val="1"/>
        </w:numPr>
        <w:spacing w:after="0"/>
        <w:jc w:val="both"/>
        <w:rPr>
          <w:rFonts w:ascii="Times New Roman" w:eastAsia="Times New Roman" w:hAnsi="Times New Roman" w:cs="Times New Roman"/>
          <w:b/>
          <w:color w:val="000000"/>
          <w:sz w:val="24"/>
          <w:szCs w:val="24"/>
          <w:lang w:val="en-GB" w:eastAsia="en-GB"/>
        </w:rPr>
      </w:pPr>
      <w:r w:rsidRPr="00DB6BC5">
        <w:rPr>
          <w:rFonts w:ascii="Times New Roman" w:eastAsia="Times New Roman" w:hAnsi="Times New Roman" w:cs="Times New Roman"/>
          <w:b/>
          <w:color w:val="000000"/>
          <w:sz w:val="24"/>
          <w:szCs w:val="24"/>
          <w:lang w:val="en-GB" w:eastAsia="en-GB"/>
        </w:rPr>
        <w:t xml:space="preserve"> </w:t>
      </w:r>
      <w:r w:rsidR="00FC72F5" w:rsidRPr="00DB6BC5">
        <w:rPr>
          <w:rFonts w:ascii="Times New Roman" w:eastAsia="Times New Roman" w:hAnsi="Times New Roman" w:cs="Times New Roman"/>
          <w:b/>
          <w:color w:val="000000"/>
          <w:sz w:val="24"/>
          <w:szCs w:val="24"/>
          <w:lang w:val="en-GB" w:eastAsia="en-GB"/>
        </w:rPr>
        <w:t xml:space="preserve">PARLIAMENT </w:t>
      </w:r>
    </w:p>
    <w:p w14:paraId="3CF73F12" w14:textId="77777777" w:rsidR="00AE6A3A" w:rsidRPr="00DB6BC5" w:rsidRDefault="00AE6A3A" w:rsidP="00DB6BC5">
      <w:pPr>
        <w:pStyle w:val="ListParagraph"/>
        <w:spacing w:after="0"/>
        <w:jc w:val="both"/>
        <w:rPr>
          <w:rFonts w:ascii="Times New Roman" w:eastAsia="Times New Roman" w:hAnsi="Times New Roman" w:cs="Times New Roman"/>
          <w:color w:val="000000"/>
          <w:sz w:val="24"/>
          <w:szCs w:val="24"/>
          <w:lang w:val="en-GB" w:eastAsia="en-GB"/>
        </w:rPr>
      </w:pPr>
    </w:p>
    <w:p w14:paraId="3A30C8B4" w14:textId="67C80C92" w:rsidR="00E40814" w:rsidRPr="00DB6BC5" w:rsidRDefault="00E40814" w:rsidP="00DB6BC5">
      <w:pPr>
        <w:pStyle w:val="ListParagraph"/>
        <w:numPr>
          <w:ilvl w:val="2"/>
          <w:numId w:val="1"/>
        </w:numPr>
        <w:spacing w:after="0"/>
        <w:jc w:val="both"/>
        <w:rPr>
          <w:rFonts w:ascii="Times New Roman" w:eastAsia="Times New Roman" w:hAnsi="Times New Roman" w:cs="Times New Roman"/>
          <w:color w:val="000000"/>
          <w:sz w:val="24"/>
          <w:szCs w:val="24"/>
          <w:lang w:val="sr-Latn-ME" w:eastAsia="en-GB"/>
        </w:rPr>
      </w:pPr>
      <w:r w:rsidRPr="00DB6BC5">
        <w:rPr>
          <w:rFonts w:ascii="Times New Roman" w:eastAsia="Times New Roman" w:hAnsi="Times New Roman" w:cs="Times New Roman"/>
          <w:color w:val="000000"/>
          <w:sz w:val="24"/>
          <w:szCs w:val="24"/>
          <w:lang w:val="sr-Latn-ME" w:eastAsia="en-GB"/>
        </w:rPr>
        <w:t>GENERAL</w:t>
      </w:r>
      <w:r w:rsidR="00FC72F5" w:rsidRPr="00DB6BC5">
        <w:rPr>
          <w:rFonts w:ascii="Times New Roman" w:eastAsia="Times New Roman" w:hAnsi="Times New Roman" w:cs="Times New Roman"/>
          <w:color w:val="000000"/>
          <w:sz w:val="24"/>
          <w:szCs w:val="24"/>
          <w:lang w:val="sr-Latn-ME" w:eastAsia="en-GB"/>
        </w:rPr>
        <w:t xml:space="preserve"> CONCLUSIONS</w:t>
      </w:r>
    </w:p>
    <w:p w14:paraId="1B5803DD" w14:textId="77777777" w:rsidR="00F874CD" w:rsidRPr="00DB6BC5" w:rsidRDefault="00F874CD" w:rsidP="00DB6BC5">
      <w:pPr>
        <w:spacing w:after="0"/>
        <w:jc w:val="both"/>
        <w:rPr>
          <w:rFonts w:ascii="Times New Roman" w:eastAsia="Times New Roman" w:hAnsi="Times New Roman" w:cs="Times New Roman"/>
          <w:color w:val="000000"/>
          <w:sz w:val="24"/>
          <w:szCs w:val="24"/>
          <w:lang w:val="en-GB" w:eastAsia="en-GB"/>
        </w:rPr>
      </w:pPr>
    </w:p>
    <w:p w14:paraId="63798409" w14:textId="77777777" w:rsidR="0000353B" w:rsidRPr="00DB6BC5" w:rsidRDefault="0000353B" w:rsidP="00DB6BC5">
      <w:pPr>
        <w:jc w:val="both"/>
        <w:rPr>
          <w:rFonts w:ascii="Times New Roman" w:hAnsi="Times New Roman" w:cs="Times New Roman"/>
          <w:sz w:val="24"/>
          <w:szCs w:val="24"/>
        </w:rPr>
      </w:pPr>
      <w:r w:rsidRPr="00DB6BC5">
        <w:rPr>
          <w:rFonts w:ascii="Times New Roman" w:hAnsi="Times New Roman" w:cs="Times New Roman"/>
          <w:sz w:val="24"/>
          <w:szCs w:val="24"/>
        </w:rPr>
        <w:t>The Parliament of Montenegro, for the fourth consecutive year, is the most open in the region</w:t>
      </w:r>
      <w:r w:rsidRPr="00DB6BC5">
        <w:rPr>
          <w:rStyle w:val="FootnoteReference"/>
          <w:rFonts w:ascii="Times New Roman" w:hAnsi="Times New Roman" w:cs="Times New Roman"/>
          <w:sz w:val="24"/>
          <w:szCs w:val="24"/>
        </w:rPr>
        <w:footnoteReference w:id="3"/>
      </w:r>
      <w:r w:rsidRPr="00DB6BC5">
        <w:rPr>
          <w:rFonts w:ascii="Times New Roman" w:hAnsi="Times New Roman" w:cs="Times New Roman"/>
          <w:sz w:val="24"/>
          <w:szCs w:val="24"/>
        </w:rPr>
        <w:t xml:space="preserve">. It currently complies with 81% of the openness indicators. This is a result worthy of attention and praise. However, the Parliament did not utilize the potential for further development of openness </w:t>
      </w:r>
      <w:r w:rsidRPr="00DB6BC5">
        <w:rPr>
          <w:rFonts w:ascii="Times New Roman" w:hAnsi="Times New Roman" w:cs="Times New Roman"/>
          <w:sz w:val="24"/>
          <w:szCs w:val="24"/>
        </w:rPr>
        <w:lastRenderedPageBreak/>
        <w:t>policy in previous years. Almost no recommendation we have made in the last year's document for the development of openness has been fulfilled.</w:t>
      </w:r>
    </w:p>
    <w:p w14:paraId="44E63DE1" w14:textId="4F14E8A0" w:rsidR="007B6CB1" w:rsidRPr="00DB6BC5" w:rsidRDefault="0000353B" w:rsidP="00DB6BC5">
      <w:pPr>
        <w:jc w:val="both"/>
        <w:rPr>
          <w:rFonts w:ascii="Times New Roman" w:hAnsi="Times New Roman" w:cs="Times New Roman"/>
          <w:sz w:val="24"/>
          <w:szCs w:val="24"/>
        </w:rPr>
      </w:pPr>
      <w:r w:rsidRPr="00DB6BC5">
        <w:rPr>
          <w:rFonts w:ascii="Times New Roman" w:hAnsi="Times New Roman" w:cs="Times New Roman"/>
          <w:sz w:val="24"/>
          <w:szCs w:val="24"/>
        </w:rPr>
        <w:t>Therefore, the Parliament can get a good rating by publishing basic data on its work, which is not the case when we talk about the development of openness policy. If this trend continues, there is a possibility that the Parliament of Montenegro will lose the regional primacy in this field in the forthcoming period. We hope that the return of the majority of opposition MPs in the work of parliamentary bodies and plenum will also have the positive impact on the necessary development.</w:t>
      </w:r>
    </w:p>
    <w:p w14:paraId="4A8FDDBD" w14:textId="482A8AF2" w:rsidR="00E40814" w:rsidRPr="00DB6BC5" w:rsidRDefault="0000353B" w:rsidP="00DB6BC5">
      <w:pPr>
        <w:pStyle w:val="ListParagraph"/>
        <w:numPr>
          <w:ilvl w:val="2"/>
          <w:numId w:val="1"/>
        </w:numPr>
        <w:spacing w:after="0"/>
        <w:jc w:val="both"/>
        <w:rPr>
          <w:rFonts w:ascii="Times New Roman" w:eastAsia="Times New Roman" w:hAnsi="Times New Roman" w:cs="Times New Roman"/>
          <w:color w:val="000000"/>
          <w:sz w:val="24"/>
          <w:szCs w:val="24"/>
          <w:lang w:val="sr-Latn-ME" w:eastAsia="en-GB"/>
        </w:rPr>
      </w:pPr>
      <w:r w:rsidRPr="00DB6BC5">
        <w:rPr>
          <w:rFonts w:ascii="Times New Roman" w:eastAsia="Times New Roman" w:hAnsi="Times New Roman" w:cs="Times New Roman"/>
          <w:color w:val="000000"/>
          <w:sz w:val="24"/>
          <w:szCs w:val="24"/>
          <w:lang w:val="sr-Latn-ME" w:eastAsia="en-GB"/>
        </w:rPr>
        <w:t>ACTION STEPS</w:t>
      </w:r>
    </w:p>
    <w:p w14:paraId="0255FE58" w14:textId="77777777" w:rsidR="0097190F" w:rsidRPr="00DB6BC5" w:rsidRDefault="0097190F" w:rsidP="00DB6BC5">
      <w:pPr>
        <w:pStyle w:val="ListParagraph"/>
        <w:spacing w:after="0"/>
        <w:ind w:left="0"/>
        <w:jc w:val="both"/>
        <w:rPr>
          <w:rFonts w:ascii="Times New Roman" w:eastAsia="Times New Roman" w:hAnsi="Times New Roman" w:cs="Times New Roman"/>
          <w:color w:val="000000"/>
          <w:sz w:val="24"/>
          <w:szCs w:val="24"/>
          <w:lang w:val="en-GB" w:eastAsia="en-GB"/>
        </w:rPr>
      </w:pPr>
    </w:p>
    <w:p w14:paraId="568C8073" w14:textId="2238162A" w:rsidR="002337A4" w:rsidRPr="00DB6BC5" w:rsidRDefault="003162B8" w:rsidP="00DB6BC5">
      <w:pPr>
        <w:pStyle w:val="ListParagraph"/>
        <w:spacing w:after="0"/>
        <w:ind w:left="0"/>
        <w:jc w:val="both"/>
        <w:rPr>
          <w:rFonts w:ascii="Times New Roman" w:hAnsi="Times New Roman" w:cs="Times New Roman"/>
          <w:sz w:val="24"/>
          <w:szCs w:val="24"/>
          <w:lang w:val="en"/>
        </w:rPr>
      </w:pPr>
      <w:r w:rsidRPr="00DB6BC5">
        <w:rPr>
          <w:rFonts w:ascii="Times New Roman" w:hAnsi="Times New Roman" w:cs="Times New Roman"/>
          <w:sz w:val="24"/>
          <w:szCs w:val="24"/>
          <w:lang w:val="en"/>
        </w:rPr>
        <w:t>The following steps represent key recommendations for continuing the development and implementation of international standards of openness and accountability:</w:t>
      </w:r>
    </w:p>
    <w:p w14:paraId="5CB709EB" w14:textId="77777777" w:rsidR="003162B8" w:rsidRPr="00DB6BC5" w:rsidRDefault="003162B8" w:rsidP="00DB6BC5">
      <w:pPr>
        <w:pStyle w:val="ListParagraph"/>
        <w:spacing w:after="0"/>
        <w:ind w:left="0"/>
        <w:jc w:val="both"/>
        <w:rPr>
          <w:rFonts w:ascii="Times New Roman" w:eastAsia="Times New Roman" w:hAnsi="Times New Roman" w:cs="Times New Roman"/>
          <w:color w:val="000000"/>
          <w:sz w:val="24"/>
          <w:szCs w:val="24"/>
          <w:lang w:val="en-GB" w:eastAsia="en-GB"/>
        </w:rPr>
      </w:pPr>
    </w:p>
    <w:p w14:paraId="5A0FA048" w14:textId="42BB07B6" w:rsidR="004E7C99" w:rsidRPr="00DB6BC5" w:rsidRDefault="004E7C99" w:rsidP="00DB6BC5">
      <w:pPr>
        <w:pStyle w:val="ListParagraph"/>
        <w:numPr>
          <w:ilvl w:val="0"/>
          <w:numId w:val="4"/>
        </w:num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sz w:val="24"/>
          <w:szCs w:val="24"/>
        </w:rPr>
        <w:t>In 2017, there was no strategic approach to the policy of openness and prerequisites for further training were not created.</w:t>
      </w:r>
      <w:r w:rsidRPr="00DB6BC5">
        <w:rPr>
          <w:rFonts w:ascii="Times New Roman" w:hAnsi="Times New Roman" w:cs="Times New Roman"/>
          <w:sz w:val="24"/>
          <w:szCs w:val="24"/>
          <w:lang w:val="sr-Latn-RS"/>
        </w:rPr>
        <w:t xml:space="preserve"> </w:t>
      </w:r>
      <w:r w:rsidRPr="00DB6BC5">
        <w:rPr>
          <w:rFonts w:ascii="Times New Roman" w:hAnsi="Times New Roman" w:cs="Times New Roman"/>
          <w:sz w:val="24"/>
          <w:szCs w:val="24"/>
          <w:lang w:val="en"/>
        </w:rPr>
        <w:t>Therefore, there remains a recommendation of strategic planning of the development of the openness and responsibility of the Parliament of Montenegro through the identification of key problems and ways of resolving them;</w:t>
      </w:r>
    </w:p>
    <w:p w14:paraId="538B4788" w14:textId="5D908478" w:rsidR="004E7C99" w:rsidRPr="00DB6BC5" w:rsidRDefault="004E7C99" w:rsidP="00DB6BC5">
      <w:pPr>
        <w:pStyle w:val="ListParagraph"/>
        <w:numPr>
          <w:ilvl w:val="0"/>
          <w:numId w:val="4"/>
        </w:num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sz w:val="24"/>
          <w:szCs w:val="24"/>
          <w:lang w:val="sr-Latn-RS"/>
        </w:rPr>
        <w:t>Prepare</w:t>
      </w:r>
      <w:r w:rsidRPr="00DB6BC5">
        <w:rPr>
          <w:rFonts w:ascii="Times New Roman" w:hAnsi="Times New Roman" w:cs="Times New Roman"/>
          <w:sz w:val="24"/>
          <w:szCs w:val="24"/>
        </w:rPr>
        <w:t xml:space="preserve"> the Law on the Parliament of Montenegro, which would solve many issues of openness, but also other important issues related to the procedures and ways of functioning  of the Parliament (in particular the real outcomes of parliamentary investigations);</w:t>
      </w:r>
    </w:p>
    <w:p w14:paraId="3C3E35BB" w14:textId="77777777" w:rsidR="004E7C99" w:rsidRPr="00DB6BC5" w:rsidRDefault="004E7C99" w:rsidP="00DB6BC5">
      <w:pPr>
        <w:pStyle w:val="ListParagraph"/>
        <w:numPr>
          <w:ilvl w:val="0"/>
          <w:numId w:val="4"/>
        </w:num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sz w:val="24"/>
          <w:szCs w:val="24"/>
          <w:lang w:val="sr-Latn-RS"/>
        </w:rPr>
        <w:t>Revise</w:t>
      </w:r>
      <w:r w:rsidRPr="00DB6BC5">
        <w:rPr>
          <w:rFonts w:ascii="Times New Roman" w:hAnsi="Times New Roman" w:cs="Times New Roman"/>
          <w:sz w:val="24"/>
          <w:szCs w:val="24"/>
        </w:rPr>
        <w:t xml:space="preserve"> the Rules of Procedure of the Parliament, </w:t>
      </w:r>
      <w:r w:rsidRPr="00DB6BC5">
        <w:rPr>
          <w:rFonts w:ascii="Times New Roman" w:hAnsi="Times New Roman" w:cs="Times New Roman"/>
          <w:sz w:val="24"/>
          <w:szCs w:val="24"/>
          <w:lang w:val="sr-Latn-RS"/>
        </w:rPr>
        <w:t>in order to</w:t>
      </w:r>
      <w:r w:rsidRPr="00DB6BC5">
        <w:rPr>
          <w:rFonts w:ascii="Times New Roman" w:hAnsi="Times New Roman" w:cs="Times New Roman"/>
          <w:sz w:val="24"/>
          <w:szCs w:val="24"/>
        </w:rPr>
        <w:t xml:space="preserve"> review the procedures that in practice create confusion and problems, but also often obscure and controversial way of functioning of the Collegium of the President of the Parliament;</w:t>
      </w:r>
    </w:p>
    <w:p w14:paraId="509A6E2D" w14:textId="176B61B1" w:rsidR="004E7C99" w:rsidRPr="00DB6BC5" w:rsidRDefault="004E7C99" w:rsidP="00DB6BC5">
      <w:pPr>
        <w:pStyle w:val="ListParagraph"/>
        <w:numPr>
          <w:ilvl w:val="0"/>
          <w:numId w:val="4"/>
        </w:num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iCs/>
          <w:sz w:val="24"/>
          <w:szCs w:val="24"/>
          <w:lang w:val="sr-Latn-RS"/>
        </w:rPr>
        <w:t>I</w:t>
      </w:r>
      <w:r w:rsidRPr="00DB6BC5">
        <w:rPr>
          <w:rFonts w:ascii="Times New Roman" w:hAnsi="Times New Roman" w:cs="Times New Roman"/>
          <w:iCs/>
          <w:sz w:val="24"/>
          <w:szCs w:val="24"/>
        </w:rPr>
        <w:t xml:space="preserve">ncrease transparency of the work of parliamentary bodies’ through introduction of direct transmissions of their meetings and </w:t>
      </w:r>
      <w:r w:rsidR="0021656C" w:rsidRPr="00DB6BC5">
        <w:rPr>
          <w:rFonts w:ascii="Times New Roman" w:hAnsi="Times New Roman" w:cs="Times New Roman"/>
          <w:sz w:val="24"/>
          <w:szCs w:val="24"/>
        </w:rPr>
        <w:t>lists of votes of individual MPs at working bodies' sessions</w:t>
      </w:r>
      <w:r w:rsidR="0021656C" w:rsidRPr="00DB6BC5">
        <w:rPr>
          <w:rFonts w:ascii="Times New Roman" w:hAnsi="Times New Roman" w:cs="Times New Roman"/>
          <w:sz w:val="24"/>
          <w:szCs w:val="24"/>
          <w:lang w:val="sr-Latn-RS"/>
        </w:rPr>
        <w:t>;</w:t>
      </w:r>
    </w:p>
    <w:p w14:paraId="64FC1201" w14:textId="77777777" w:rsidR="004E7C99" w:rsidRPr="00DB6BC5" w:rsidRDefault="004E7C99" w:rsidP="00DB6BC5">
      <w:pPr>
        <w:pStyle w:val="ListParagraph"/>
        <w:numPr>
          <w:ilvl w:val="0"/>
          <w:numId w:val="4"/>
        </w:num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iCs/>
          <w:sz w:val="24"/>
          <w:szCs w:val="24"/>
          <w:lang w:val="sr-Latn-RS"/>
        </w:rPr>
        <w:t>I</w:t>
      </w:r>
      <w:r w:rsidRPr="00DB6BC5">
        <w:rPr>
          <w:rFonts w:ascii="Times New Roman" w:hAnsi="Times New Roman" w:cs="Times New Roman"/>
          <w:iCs/>
          <w:sz w:val="24"/>
          <w:szCs w:val="24"/>
        </w:rPr>
        <w:t>mprove communications of the Parliament of Montenegro with citizens through introduction of channels for a “fast “communication on at least two social networks;</w:t>
      </w:r>
    </w:p>
    <w:p w14:paraId="52C3426F" w14:textId="699C1111" w:rsidR="004E7C99" w:rsidRPr="00DB6BC5" w:rsidRDefault="004E7C99" w:rsidP="00DB6BC5">
      <w:pPr>
        <w:pStyle w:val="ListParagraph"/>
        <w:numPr>
          <w:ilvl w:val="0"/>
          <w:numId w:val="4"/>
        </w:num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iCs/>
          <w:sz w:val="24"/>
          <w:szCs w:val="24"/>
          <w:lang w:val="sr-Latn-RS"/>
        </w:rPr>
        <w:t>E</w:t>
      </w:r>
      <w:r w:rsidRPr="00DB6BC5">
        <w:rPr>
          <w:rFonts w:ascii="Times New Roman" w:hAnsi="Times New Roman" w:cs="Times New Roman"/>
          <w:iCs/>
          <w:sz w:val="24"/>
          <w:szCs w:val="24"/>
        </w:rPr>
        <w:t>nable citizens to submit initiatives</w:t>
      </w:r>
      <w:r w:rsidRPr="00DB6BC5">
        <w:rPr>
          <w:rFonts w:ascii="Times New Roman" w:hAnsi="Times New Roman" w:cs="Times New Roman"/>
          <w:iCs/>
          <w:sz w:val="24"/>
          <w:szCs w:val="24"/>
          <w:lang w:val="sr-Latn-RS"/>
        </w:rPr>
        <w:t>;</w:t>
      </w:r>
    </w:p>
    <w:p w14:paraId="3682E6F8" w14:textId="23E70407" w:rsidR="0021656C" w:rsidRPr="00DB6BC5" w:rsidRDefault="0021656C" w:rsidP="00DB6BC5">
      <w:pPr>
        <w:pStyle w:val="ListParagraph"/>
        <w:numPr>
          <w:ilvl w:val="0"/>
          <w:numId w:val="4"/>
        </w:num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sz w:val="24"/>
          <w:szCs w:val="24"/>
          <w:lang w:val="sr-Latn-RS"/>
        </w:rPr>
        <w:t>I</w:t>
      </w:r>
      <w:r w:rsidRPr="00DB6BC5">
        <w:rPr>
          <w:rFonts w:ascii="Times New Roman" w:hAnsi="Times New Roman" w:cs="Times New Roman"/>
          <w:sz w:val="24"/>
          <w:szCs w:val="24"/>
        </w:rPr>
        <w:t>ncrease the capacity to assess the possible impact of legal solutions during their preparation (RIA analysis);</w:t>
      </w:r>
    </w:p>
    <w:p w14:paraId="3F919F8B" w14:textId="0DD67009" w:rsidR="005B53B8" w:rsidRPr="00DB6BC5" w:rsidRDefault="0021656C" w:rsidP="00DB6BC5">
      <w:pPr>
        <w:pStyle w:val="ListParagraph"/>
        <w:numPr>
          <w:ilvl w:val="0"/>
          <w:numId w:val="4"/>
        </w:numPr>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sz w:val="24"/>
          <w:szCs w:val="24"/>
          <w:lang w:val="sr-Latn-RS"/>
        </w:rPr>
        <w:t xml:space="preserve">Improve </w:t>
      </w:r>
      <w:r w:rsidRPr="00DB6BC5">
        <w:rPr>
          <w:rFonts w:ascii="Times New Roman" w:hAnsi="Times New Roman" w:cs="Times New Roman"/>
          <w:sz w:val="24"/>
          <w:szCs w:val="24"/>
        </w:rPr>
        <w:t>financial transparency of the Parliament</w:t>
      </w:r>
      <w:r w:rsidRPr="00DB6BC5">
        <w:rPr>
          <w:rFonts w:ascii="Times New Roman" w:hAnsi="Times New Roman" w:cs="Times New Roman"/>
          <w:sz w:val="24"/>
          <w:szCs w:val="24"/>
          <w:lang w:val="sr-Latn-RS"/>
        </w:rPr>
        <w:t xml:space="preserve">. </w:t>
      </w:r>
      <w:r w:rsidRPr="00DB6BC5">
        <w:rPr>
          <w:rFonts w:ascii="Times New Roman" w:hAnsi="Times New Roman" w:cs="Times New Roman"/>
          <w:sz w:val="24"/>
          <w:szCs w:val="24"/>
        </w:rPr>
        <w:t xml:space="preserve"> promote the publication of the budget and the final account on the website</w:t>
      </w:r>
      <w:r w:rsidRPr="00DB6BC5">
        <w:rPr>
          <w:rFonts w:ascii="Times New Roman" w:hAnsi="Times New Roman" w:cs="Times New Roman"/>
          <w:sz w:val="24"/>
          <w:szCs w:val="24"/>
          <w:lang w:val="sr-Latn-RS"/>
        </w:rPr>
        <w:t xml:space="preserve"> (</w:t>
      </w:r>
      <w:r w:rsidRPr="00DB6BC5">
        <w:rPr>
          <w:rFonts w:ascii="Times New Roman" w:hAnsi="Times New Roman" w:cs="Times New Roman"/>
          <w:sz w:val="24"/>
          <w:szCs w:val="24"/>
        </w:rPr>
        <w:t>proposals are available, but not all final versions (adopted version – decree on promulgation of the law)</w:t>
      </w:r>
      <w:r w:rsidRPr="00DB6BC5">
        <w:rPr>
          <w:rFonts w:ascii="Times New Roman" w:hAnsi="Times New Roman" w:cs="Times New Roman"/>
          <w:sz w:val="24"/>
          <w:szCs w:val="24"/>
          <w:lang w:val="sr-Latn-RS"/>
        </w:rPr>
        <w:t>)</w:t>
      </w:r>
      <w:r w:rsidRPr="00DB6BC5">
        <w:rPr>
          <w:rFonts w:ascii="Times New Roman" w:hAnsi="Times New Roman" w:cs="Times New Roman"/>
          <w:sz w:val="24"/>
          <w:szCs w:val="24"/>
        </w:rPr>
        <w:t xml:space="preserve">; </w:t>
      </w:r>
    </w:p>
    <w:p w14:paraId="7CE04453" w14:textId="3501743D" w:rsidR="0021656C" w:rsidRPr="00DB6BC5" w:rsidRDefault="0021656C" w:rsidP="00DB6BC5">
      <w:pPr>
        <w:pStyle w:val="ListParagraph"/>
        <w:numPr>
          <w:ilvl w:val="0"/>
          <w:numId w:val="4"/>
        </w:numPr>
        <w:jc w:val="both"/>
        <w:rPr>
          <w:rFonts w:ascii="Times New Roman" w:hAnsi="Times New Roman" w:cs="Times New Roman"/>
          <w:sz w:val="24"/>
          <w:szCs w:val="24"/>
        </w:rPr>
      </w:pPr>
      <w:r w:rsidRPr="00DB6BC5">
        <w:rPr>
          <w:rFonts w:ascii="Times New Roman" w:hAnsi="Times New Roman" w:cs="Times New Roman"/>
          <w:sz w:val="24"/>
          <w:szCs w:val="24"/>
          <w:lang w:val="sr-Latn-RS"/>
        </w:rPr>
        <w:t>P</w:t>
      </w:r>
      <w:r w:rsidRPr="00DB6BC5">
        <w:rPr>
          <w:rFonts w:ascii="Times New Roman" w:hAnsi="Times New Roman" w:cs="Times New Roman"/>
          <w:sz w:val="24"/>
          <w:szCs w:val="24"/>
        </w:rPr>
        <w:t>repare and publish “</w:t>
      </w:r>
      <w:r w:rsidRPr="00DB6BC5">
        <w:rPr>
          <w:rFonts w:ascii="Times New Roman" w:hAnsi="Times New Roman" w:cs="Times New Roman"/>
          <w:sz w:val="24"/>
          <w:szCs w:val="24"/>
          <w:lang w:val="sr-Latn-RS"/>
        </w:rPr>
        <w:t>Budget for citizens“</w:t>
      </w:r>
      <w:r w:rsidRPr="00DB6BC5">
        <w:rPr>
          <w:rFonts w:ascii="Times New Roman" w:hAnsi="Times New Roman" w:cs="Times New Roman"/>
          <w:sz w:val="24"/>
          <w:szCs w:val="24"/>
        </w:rPr>
        <w:t xml:space="preserve">, </w:t>
      </w:r>
      <w:r w:rsidRPr="00DB6BC5">
        <w:rPr>
          <w:rFonts w:ascii="Times New Roman" w:hAnsi="Times New Roman" w:cs="Times New Roman"/>
          <w:sz w:val="24"/>
          <w:szCs w:val="24"/>
          <w:lang w:val="en"/>
        </w:rPr>
        <w:t>in order to bring the budget closer to citizens, through narrative and graphic explanations;</w:t>
      </w:r>
    </w:p>
    <w:p w14:paraId="2ADB2018" w14:textId="763A8407" w:rsidR="0021656C" w:rsidRPr="00DB6BC5" w:rsidRDefault="0021656C" w:rsidP="00DB6BC5">
      <w:pPr>
        <w:pStyle w:val="ListParagraph"/>
        <w:numPr>
          <w:ilvl w:val="0"/>
          <w:numId w:val="4"/>
        </w:numPr>
        <w:jc w:val="both"/>
        <w:rPr>
          <w:rFonts w:ascii="Times New Roman" w:hAnsi="Times New Roman" w:cs="Times New Roman"/>
          <w:sz w:val="24"/>
          <w:szCs w:val="24"/>
        </w:rPr>
      </w:pPr>
      <w:r w:rsidRPr="00DB6BC5">
        <w:rPr>
          <w:rFonts w:ascii="Times New Roman" w:hAnsi="Times New Roman" w:cs="Times New Roman"/>
          <w:sz w:val="24"/>
          <w:szCs w:val="24"/>
          <w:lang w:val="en"/>
        </w:rPr>
        <w:t xml:space="preserve">Publish </w:t>
      </w:r>
      <w:r w:rsidRPr="00DB6BC5">
        <w:rPr>
          <w:rFonts w:ascii="Times New Roman" w:hAnsi="Times New Roman" w:cs="Times New Roman"/>
          <w:sz w:val="24"/>
          <w:szCs w:val="24"/>
        </w:rPr>
        <w:t xml:space="preserve">biographies of </w:t>
      </w:r>
      <w:r w:rsidRPr="00DB6BC5">
        <w:rPr>
          <w:rFonts w:ascii="Times New Roman" w:hAnsi="Times New Roman" w:cs="Times New Roman"/>
          <w:sz w:val="24"/>
          <w:szCs w:val="24"/>
          <w:lang w:val="sr-Latn-RS"/>
        </w:rPr>
        <w:t xml:space="preserve">all </w:t>
      </w:r>
      <w:r w:rsidRPr="00DB6BC5">
        <w:rPr>
          <w:rFonts w:ascii="Times New Roman" w:hAnsi="Times New Roman" w:cs="Times New Roman"/>
          <w:sz w:val="24"/>
          <w:szCs w:val="24"/>
        </w:rPr>
        <w:t>MPs of the current convocation</w:t>
      </w:r>
      <w:r w:rsidRPr="00DB6BC5">
        <w:rPr>
          <w:rFonts w:ascii="Times New Roman" w:hAnsi="Times New Roman" w:cs="Times New Roman"/>
          <w:sz w:val="24"/>
          <w:szCs w:val="24"/>
          <w:lang w:val="sr-Latn-RS"/>
        </w:rPr>
        <w:t>;</w:t>
      </w:r>
    </w:p>
    <w:p w14:paraId="15507CC0" w14:textId="7394F004" w:rsidR="0021656C" w:rsidRPr="00DB6BC5" w:rsidRDefault="0021656C" w:rsidP="00DB6BC5">
      <w:pPr>
        <w:pStyle w:val="ListParagraph"/>
        <w:numPr>
          <w:ilvl w:val="0"/>
          <w:numId w:val="4"/>
        </w:numPr>
        <w:jc w:val="both"/>
        <w:rPr>
          <w:rFonts w:ascii="Times New Roman" w:hAnsi="Times New Roman" w:cs="Times New Roman"/>
          <w:sz w:val="24"/>
          <w:szCs w:val="24"/>
        </w:rPr>
      </w:pPr>
      <w:r w:rsidRPr="00DB6BC5">
        <w:rPr>
          <w:rFonts w:ascii="Times New Roman" w:hAnsi="Times New Roman" w:cs="Times New Roman"/>
          <w:sz w:val="24"/>
          <w:szCs w:val="24"/>
          <w:lang w:val="en"/>
        </w:rPr>
        <w:lastRenderedPageBreak/>
        <w:t>Regularly publish the Legislative Work plan;</w:t>
      </w:r>
    </w:p>
    <w:p w14:paraId="6E169667" w14:textId="43EBDF09" w:rsidR="0021656C" w:rsidRPr="00DB6BC5" w:rsidRDefault="0021656C" w:rsidP="00DB6BC5">
      <w:pPr>
        <w:pStyle w:val="ListParagraph"/>
        <w:numPr>
          <w:ilvl w:val="0"/>
          <w:numId w:val="4"/>
        </w:numPr>
        <w:jc w:val="both"/>
        <w:rPr>
          <w:rFonts w:ascii="Times New Roman" w:hAnsi="Times New Roman" w:cs="Times New Roman"/>
          <w:sz w:val="24"/>
          <w:szCs w:val="24"/>
        </w:rPr>
      </w:pPr>
      <w:r w:rsidRPr="00DB6BC5">
        <w:rPr>
          <w:rFonts w:ascii="Times New Roman" w:hAnsi="Times New Roman" w:cs="Times New Roman"/>
          <w:sz w:val="24"/>
          <w:szCs w:val="24"/>
          <w:lang w:val="en"/>
        </w:rPr>
        <w:t xml:space="preserve">Publish </w:t>
      </w:r>
      <w:r w:rsidRPr="00DB6BC5">
        <w:rPr>
          <w:rFonts w:ascii="Times New Roman" w:hAnsi="Times New Roman" w:cs="Times New Roman"/>
          <w:sz w:val="24"/>
          <w:szCs w:val="24"/>
        </w:rPr>
        <w:t>mid-year reports on the funds spent</w:t>
      </w:r>
      <w:r w:rsidRPr="00DB6BC5">
        <w:rPr>
          <w:rFonts w:ascii="Times New Roman" w:hAnsi="Times New Roman" w:cs="Times New Roman"/>
          <w:sz w:val="24"/>
          <w:szCs w:val="24"/>
          <w:lang w:val="sr-Latn-RS"/>
        </w:rPr>
        <w:t>;</w:t>
      </w:r>
    </w:p>
    <w:p w14:paraId="61D50348" w14:textId="6486977F" w:rsidR="0021656C" w:rsidRPr="00DB6BC5" w:rsidRDefault="0021656C" w:rsidP="00DB6BC5">
      <w:pPr>
        <w:pStyle w:val="ListParagraph"/>
        <w:numPr>
          <w:ilvl w:val="0"/>
          <w:numId w:val="4"/>
        </w:numPr>
        <w:jc w:val="both"/>
        <w:rPr>
          <w:rFonts w:ascii="Times New Roman" w:hAnsi="Times New Roman" w:cs="Times New Roman"/>
          <w:sz w:val="24"/>
          <w:szCs w:val="24"/>
        </w:rPr>
      </w:pPr>
      <w:r w:rsidRPr="00DB6BC5">
        <w:rPr>
          <w:rFonts w:ascii="Times New Roman" w:hAnsi="Times New Roman" w:cs="Times New Roman"/>
          <w:sz w:val="24"/>
          <w:szCs w:val="24"/>
          <w:lang w:val="sr-Latn-RS"/>
        </w:rPr>
        <w:t>Publish data in open data format.</w:t>
      </w:r>
    </w:p>
    <w:p w14:paraId="580F728F" w14:textId="77777777" w:rsidR="005B53B8" w:rsidRPr="00DB6BC5" w:rsidRDefault="005B53B8" w:rsidP="00DB6BC5">
      <w:pPr>
        <w:pStyle w:val="ListParagraph"/>
        <w:spacing w:after="0"/>
        <w:jc w:val="both"/>
        <w:rPr>
          <w:rFonts w:ascii="Times New Roman" w:eastAsia="Times New Roman" w:hAnsi="Times New Roman" w:cs="Times New Roman"/>
          <w:color w:val="000000"/>
          <w:sz w:val="24"/>
          <w:szCs w:val="24"/>
          <w:lang w:val="en-GB" w:eastAsia="en-GB"/>
        </w:rPr>
      </w:pPr>
    </w:p>
    <w:p w14:paraId="2F7D1A2A" w14:textId="77777777" w:rsidR="007F549F" w:rsidRPr="00DB6BC5" w:rsidRDefault="007F549F" w:rsidP="00DB6BC5">
      <w:pPr>
        <w:spacing w:after="0"/>
        <w:jc w:val="both"/>
        <w:rPr>
          <w:rFonts w:ascii="Times New Roman" w:eastAsia="Times New Roman" w:hAnsi="Times New Roman" w:cs="Times New Roman"/>
          <w:color w:val="000000"/>
          <w:sz w:val="24"/>
          <w:szCs w:val="24"/>
          <w:lang w:val="en-GB" w:eastAsia="en-GB"/>
        </w:rPr>
      </w:pPr>
    </w:p>
    <w:p w14:paraId="40E88232" w14:textId="77777777" w:rsidR="00AD412C" w:rsidRPr="00DB6BC5" w:rsidRDefault="00AD412C" w:rsidP="00DB6BC5">
      <w:pPr>
        <w:spacing w:after="0"/>
        <w:jc w:val="both"/>
        <w:rPr>
          <w:rFonts w:ascii="Times New Roman" w:eastAsia="Times New Roman" w:hAnsi="Times New Roman" w:cs="Times New Roman"/>
          <w:color w:val="000000"/>
          <w:sz w:val="24"/>
          <w:szCs w:val="24"/>
          <w:lang w:val="en-GB" w:eastAsia="en-GB"/>
        </w:rPr>
      </w:pPr>
    </w:p>
    <w:p w14:paraId="32D7947A" w14:textId="77777777" w:rsidR="00AD412C" w:rsidRPr="00DB6BC5" w:rsidRDefault="00AD412C" w:rsidP="00DB6BC5">
      <w:pPr>
        <w:spacing w:after="0"/>
        <w:jc w:val="both"/>
        <w:rPr>
          <w:rFonts w:ascii="Times New Roman" w:eastAsia="Times New Roman" w:hAnsi="Times New Roman" w:cs="Times New Roman"/>
          <w:color w:val="000000"/>
          <w:sz w:val="24"/>
          <w:szCs w:val="24"/>
          <w:lang w:val="en-GB" w:eastAsia="en-GB"/>
        </w:rPr>
      </w:pPr>
    </w:p>
    <w:p w14:paraId="1367DDC5" w14:textId="77777777" w:rsidR="00AD412C" w:rsidRPr="00DB6BC5" w:rsidRDefault="00AD412C" w:rsidP="00DB6BC5">
      <w:pPr>
        <w:spacing w:after="0"/>
        <w:jc w:val="both"/>
        <w:rPr>
          <w:rFonts w:ascii="Times New Roman" w:eastAsia="Times New Roman" w:hAnsi="Times New Roman" w:cs="Times New Roman"/>
          <w:color w:val="000000"/>
          <w:sz w:val="24"/>
          <w:szCs w:val="24"/>
          <w:lang w:val="en-GB" w:eastAsia="en-GB"/>
        </w:rPr>
      </w:pPr>
    </w:p>
    <w:p w14:paraId="12B3930E" w14:textId="77777777" w:rsidR="00AD412C" w:rsidRPr="00DB6BC5" w:rsidRDefault="00AD412C" w:rsidP="00DB6BC5">
      <w:pPr>
        <w:spacing w:after="0"/>
        <w:jc w:val="both"/>
        <w:rPr>
          <w:rFonts w:ascii="Times New Roman" w:eastAsia="Times New Roman" w:hAnsi="Times New Roman" w:cs="Times New Roman"/>
          <w:color w:val="000000"/>
          <w:sz w:val="24"/>
          <w:szCs w:val="24"/>
          <w:lang w:val="en-GB" w:eastAsia="en-GB"/>
        </w:rPr>
      </w:pPr>
    </w:p>
    <w:p w14:paraId="0E1D3450" w14:textId="77777777" w:rsidR="00AD412C" w:rsidRPr="00DB6BC5" w:rsidRDefault="00AD412C" w:rsidP="00DB6BC5">
      <w:pPr>
        <w:spacing w:after="0"/>
        <w:jc w:val="both"/>
        <w:rPr>
          <w:rFonts w:ascii="Times New Roman" w:eastAsia="Times New Roman" w:hAnsi="Times New Roman" w:cs="Times New Roman"/>
          <w:color w:val="000000"/>
          <w:sz w:val="24"/>
          <w:szCs w:val="24"/>
          <w:lang w:val="en-GB" w:eastAsia="en-GB"/>
        </w:rPr>
      </w:pPr>
    </w:p>
    <w:p w14:paraId="116CABB2" w14:textId="77777777" w:rsidR="00AD412C" w:rsidRPr="00DB6BC5" w:rsidRDefault="00AD412C" w:rsidP="00DB6BC5">
      <w:pPr>
        <w:spacing w:after="0"/>
        <w:jc w:val="both"/>
        <w:rPr>
          <w:rFonts w:ascii="Times New Roman" w:eastAsia="Times New Roman" w:hAnsi="Times New Roman" w:cs="Times New Roman"/>
          <w:color w:val="000000"/>
          <w:sz w:val="24"/>
          <w:szCs w:val="24"/>
          <w:lang w:val="en-GB" w:eastAsia="en-GB"/>
        </w:rPr>
      </w:pPr>
    </w:p>
    <w:p w14:paraId="11037BD9" w14:textId="77777777" w:rsidR="00AD412C" w:rsidRPr="00DB6BC5" w:rsidRDefault="00AD412C" w:rsidP="00DB6BC5">
      <w:pPr>
        <w:spacing w:after="0"/>
        <w:jc w:val="both"/>
        <w:rPr>
          <w:rFonts w:ascii="Times New Roman" w:eastAsia="Times New Roman" w:hAnsi="Times New Roman" w:cs="Times New Roman"/>
          <w:color w:val="000000"/>
          <w:sz w:val="24"/>
          <w:szCs w:val="24"/>
          <w:lang w:val="en-GB" w:eastAsia="en-GB"/>
        </w:rPr>
      </w:pPr>
    </w:p>
    <w:p w14:paraId="4DB2DF71" w14:textId="77777777" w:rsidR="00AD412C" w:rsidRPr="00DB6BC5" w:rsidRDefault="00AD412C" w:rsidP="00DB6BC5">
      <w:pPr>
        <w:spacing w:after="0"/>
        <w:jc w:val="both"/>
        <w:rPr>
          <w:rFonts w:ascii="Times New Roman" w:eastAsia="Times New Roman" w:hAnsi="Times New Roman" w:cs="Times New Roman"/>
          <w:color w:val="000000"/>
          <w:sz w:val="24"/>
          <w:szCs w:val="24"/>
          <w:lang w:val="en-GB" w:eastAsia="en-GB"/>
        </w:rPr>
      </w:pPr>
    </w:p>
    <w:p w14:paraId="1F3192DB" w14:textId="77777777" w:rsidR="00AD412C" w:rsidRDefault="00AD412C" w:rsidP="00DB6BC5">
      <w:pPr>
        <w:spacing w:after="0"/>
        <w:jc w:val="both"/>
        <w:rPr>
          <w:rFonts w:ascii="Times New Roman" w:eastAsia="Times New Roman" w:hAnsi="Times New Roman" w:cs="Times New Roman"/>
          <w:color w:val="000000"/>
          <w:sz w:val="24"/>
          <w:szCs w:val="24"/>
          <w:lang w:val="en-GB" w:eastAsia="en-GB"/>
        </w:rPr>
      </w:pPr>
    </w:p>
    <w:p w14:paraId="702D19A3" w14:textId="77777777" w:rsidR="00DB6BC5" w:rsidRDefault="00DB6BC5" w:rsidP="00DB6BC5">
      <w:pPr>
        <w:spacing w:after="0"/>
        <w:jc w:val="both"/>
        <w:rPr>
          <w:rFonts w:ascii="Times New Roman" w:eastAsia="Times New Roman" w:hAnsi="Times New Roman" w:cs="Times New Roman"/>
          <w:color w:val="000000"/>
          <w:sz w:val="24"/>
          <w:szCs w:val="24"/>
          <w:lang w:val="en-GB" w:eastAsia="en-GB"/>
        </w:rPr>
      </w:pPr>
    </w:p>
    <w:p w14:paraId="0D3D886A" w14:textId="77777777" w:rsidR="00DB6BC5" w:rsidRDefault="00DB6BC5" w:rsidP="00DB6BC5">
      <w:pPr>
        <w:spacing w:after="0"/>
        <w:jc w:val="both"/>
        <w:rPr>
          <w:rFonts w:ascii="Times New Roman" w:eastAsia="Times New Roman" w:hAnsi="Times New Roman" w:cs="Times New Roman"/>
          <w:color w:val="000000"/>
          <w:sz w:val="24"/>
          <w:szCs w:val="24"/>
          <w:lang w:val="en-GB" w:eastAsia="en-GB"/>
        </w:rPr>
      </w:pPr>
    </w:p>
    <w:p w14:paraId="0CA70A46" w14:textId="77777777" w:rsidR="00DB6BC5" w:rsidRDefault="00DB6BC5" w:rsidP="00DB6BC5">
      <w:pPr>
        <w:spacing w:after="0"/>
        <w:jc w:val="both"/>
        <w:rPr>
          <w:rFonts w:ascii="Times New Roman" w:eastAsia="Times New Roman" w:hAnsi="Times New Roman" w:cs="Times New Roman"/>
          <w:color w:val="000000"/>
          <w:sz w:val="24"/>
          <w:szCs w:val="24"/>
          <w:lang w:val="en-GB" w:eastAsia="en-GB"/>
        </w:rPr>
      </w:pPr>
    </w:p>
    <w:p w14:paraId="7F41E901" w14:textId="77777777" w:rsidR="00DB6BC5" w:rsidRDefault="00DB6BC5" w:rsidP="00DB6BC5">
      <w:pPr>
        <w:spacing w:after="0"/>
        <w:jc w:val="both"/>
        <w:rPr>
          <w:rFonts w:ascii="Times New Roman" w:eastAsia="Times New Roman" w:hAnsi="Times New Roman" w:cs="Times New Roman"/>
          <w:color w:val="000000"/>
          <w:sz w:val="24"/>
          <w:szCs w:val="24"/>
          <w:lang w:val="en-GB" w:eastAsia="en-GB"/>
        </w:rPr>
      </w:pPr>
    </w:p>
    <w:p w14:paraId="1E94D9CE" w14:textId="77777777" w:rsidR="00DB6BC5" w:rsidRDefault="00DB6BC5" w:rsidP="00DB6BC5">
      <w:pPr>
        <w:spacing w:after="0"/>
        <w:jc w:val="both"/>
        <w:rPr>
          <w:rFonts w:ascii="Times New Roman" w:eastAsia="Times New Roman" w:hAnsi="Times New Roman" w:cs="Times New Roman"/>
          <w:color w:val="000000"/>
          <w:sz w:val="24"/>
          <w:szCs w:val="24"/>
          <w:lang w:val="en-GB" w:eastAsia="en-GB"/>
        </w:rPr>
      </w:pPr>
    </w:p>
    <w:p w14:paraId="4F7472DA" w14:textId="77777777" w:rsidR="00DB6BC5" w:rsidRDefault="00DB6BC5" w:rsidP="00DB6BC5">
      <w:pPr>
        <w:spacing w:after="0"/>
        <w:jc w:val="both"/>
        <w:rPr>
          <w:rFonts w:ascii="Times New Roman" w:eastAsia="Times New Roman" w:hAnsi="Times New Roman" w:cs="Times New Roman"/>
          <w:color w:val="000000"/>
          <w:sz w:val="24"/>
          <w:szCs w:val="24"/>
          <w:lang w:val="en-GB" w:eastAsia="en-GB"/>
        </w:rPr>
      </w:pPr>
    </w:p>
    <w:p w14:paraId="4166E5D2" w14:textId="77777777" w:rsidR="00DB6BC5" w:rsidRPr="00DB6BC5" w:rsidRDefault="00DB6BC5" w:rsidP="00DB6BC5">
      <w:pPr>
        <w:spacing w:after="0"/>
        <w:jc w:val="both"/>
        <w:rPr>
          <w:rFonts w:ascii="Times New Roman" w:eastAsia="Times New Roman" w:hAnsi="Times New Roman" w:cs="Times New Roman"/>
          <w:color w:val="000000"/>
          <w:sz w:val="24"/>
          <w:szCs w:val="24"/>
          <w:lang w:val="en-GB" w:eastAsia="en-GB"/>
        </w:rPr>
      </w:pPr>
    </w:p>
    <w:p w14:paraId="6D61985E" w14:textId="32BD2327" w:rsidR="007F549F" w:rsidRPr="00DB6BC5" w:rsidRDefault="007F549F" w:rsidP="00DB6BC5">
      <w:pPr>
        <w:pStyle w:val="ListParagraph"/>
        <w:numPr>
          <w:ilvl w:val="1"/>
          <w:numId w:val="1"/>
        </w:numPr>
        <w:spacing w:after="0"/>
        <w:jc w:val="both"/>
        <w:rPr>
          <w:rFonts w:ascii="Times New Roman" w:eastAsia="Times New Roman" w:hAnsi="Times New Roman" w:cs="Times New Roman"/>
          <w:b/>
          <w:color w:val="000000"/>
          <w:sz w:val="24"/>
          <w:szCs w:val="24"/>
          <w:lang w:val="en-GB" w:eastAsia="en-GB"/>
        </w:rPr>
      </w:pPr>
      <w:r w:rsidRPr="00DB6BC5">
        <w:rPr>
          <w:rFonts w:ascii="Times New Roman" w:eastAsia="Times New Roman" w:hAnsi="Times New Roman" w:cs="Times New Roman"/>
          <w:b/>
          <w:color w:val="000000"/>
          <w:sz w:val="24"/>
          <w:szCs w:val="24"/>
          <w:lang w:val="en-GB" w:eastAsia="en-GB"/>
        </w:rPr>
        <w:t xml:space="preserve"> </w:t>
      </w:r>
      <w:r w:rsidR="00036F2E" w:rsidRPr="00DB6BC5">
        <w:rPr>
          <w:rFonts w:ascii="Times New Roman" w:eastAsia="Times New Roman" w:hAnsi="Times New Roman" w:cs="Times New Roman"/>
          <w:b/>
          <w:color w:val="000000"/>
          <w:sz w:val="24"/>
          <w:szCs w:val="24"/>
          <w:lang w:val="en-GB" w:eastAsia="en-GB"/>
        </w:rPr>
        <w:t>LOCAL SELF-GOVERNMENTS</w:t>
      </w:r>
    </w:p>
    <w:p w14:paraId="14B9E4A0" w14:textId="77777777" w:rsidR="007F549F" w:rsidRPr="00DB6BC5" w:rsidRDefault="007F549F" w:rsidP="00DB6BC5">
      <w:pPr>
        <w:spacing w:after="0"/>
        <w:jc w:val="both"/>
        <w:rPr>
          <w:rFonts w:ascii="Times New Roman" w:eastAsia="Times New Roman" w:hAnsi="Times New Roman" w:cs="Times New Roman"/>
          <w:color w:val="000000"/>
          <w:sz w:val="24"/>
          <w:szCs w:val="24"/>
          <w:lang w:val="en-GB" w:eastAsia="en-GB"/>
        </w:rPr>
      </w:pPr>
    </w:p>
    <w:p w14:paraId="3122601F" w14:textId="4C9E4EC7" w:rsidR="007F549F" w:rsidRPr="00DB6BC5" w:rsidRDefault="00036F2E" w:rsidP="00DB6BC5">
      <w:pPr>
        <w:pStyle w:val="ListParagraph"/>
        <w:numPr>
          <w:ilvl w:val="2"/>
          <w:numId w:val="1"/>
        </w:numPr>
        <w:spacing w:after="0"/>
        <w:jc w:val="both"/>
        <w:rPr>
          <w:rFonts w:ascii="Times New Roman" w:eastAsia="Times New Roman" w:hAnsi="Times New Roman" w:cs="Times New Roman"/>
          <w:color w:val="000000"/>
          <w:sz w:val="24"/>
          <w:szCs w:val="24"/>
          <w:lang w:val="en-GB" w:eastAsia="en-GB"/>
        </w:rPr>
      </w:pPr>
      <w:r w:rsidRPr="00DB6BC5">
        <w:rPr>
          <w:rFonts w:ascii="Times New Roman" w:eastAsia="Times New Roman" w:hAnsi="Times New Roman" w:cs="Times New Roman"/>
          <w:color w:val="000000"/>
          <w:sz w:val="24"/>
          <w:szCs w:val="24"/>
          <w:lang w:val="en-GB" w:eastAsia="en-GB"/>
        </w:rPr>
        <w:t>GENERAL CONCLUSIONS</w:t>
      </w:r>
    </w:p>
    <w:p w14:paraId="4CAAAB43" w14:textId="77777777" w:rsidR="007F549F" w:rsidRPr="00DB6BC5" w:rsidRDefault="007F549F" w:rsidP="00DB6BC5">
      <w:pPr>
        <w:spacing w:after="0"/>
        <w:jc w:val="both"/>
        <w:rPr>
          <w:rFonts w:ascii="Times New Roman" w:eastAsia="Times New Roman" w:hAnsi="Times New Roman" w:cs="Times New Roman"/>
          <w:color w:val="000000"/>
          <w:sz w:val="24"/>
          <w:szCs w:val="24"/>
          <w:lang w:val="en-GB" w:eastAsia="en-GB"/>
        </w:rPr>
      </w:pPr>
    </w:p>
    <w:p w14:paraId="74B02403" w14:textId="77777777" w:rsidR="00036F2E" w:rsidRPr="00DB6BC5" w:rsidRDefault="00036F2E" w:rsidP="00DB6BC5">
      <w:pPr>
        <w:jc w:val="both"/>
        <w:rPr>
          <w:rFonts w:ascii="Times New Roman" w:hAnsi="Times New Roman" w:cs="Times New Roman"/>
          <w:sz w:val="24"/>
          <w:szCs w:val="24"/>
        </w:rPr>
      </w:pPr>
      <w:r w:rsidRPr="00DB6BC5">
        <w:rPr>
          <w:rFonts w:ascii="Times New Roman" w:hAnsi="Times New Roman" w:cs="Times New Roman"/>
          <w:sz w:val="24"/>
          <w:szCs w:val="24"/>
        </w:rPr>
        <w:t>Openness of local self-governments in Montenegro is still at a very low level. On average, they meet only 48% of the openness criteria, which is a weaker performance compared to the last year.</w:t>
      </w:r>
      <w:r w:rsidRPr="00DB6BC5">
        <w:rPr>
          <w:rStyle w:val="FootnoteReference"/>
          <w:rFonts w:ascii="Times New Roman" w:hAnsi="Times New Roman" w:cs="Times New Roman"/>
          <w:sz w:val="24"/>
          <w:szCs w:val="24"/>
          <w:lang w:val="de-DE"/>
        </w:rPr>
        <w:footnoteReference w:id="4"/>
      </w:r>
      <w:r w:rsidRPr="00DB6BC5">
        <w:rPr>
          <w:rFonts w:ascii="Times New Roman" w:hAnsi="Times New Roman" w:cs="Times New Roman"/>
          <w:sz w:val="24"/>
          <w:szCs w:val="24"/>
        </w:rPr>
        <w:t xml:space="preserve"> While some of the reasons for this arise from the fact that the indicators of openness are stricter and that lesser municipalities have provided answers to the questionnaires, the second part is evidence of insufficient dedication and lack of interest in openness policies.</w:t>
      </w:r>
    </w:p>
    <w:p w14:paraId="3A7D1A99" w14:textId="311CA4A1" w:rsidR="00036F2E" w:rsidRPr="00DB6BC5" w:rsidRDefault="00036F2E" w:rsidP="00DB6BC5">
      <w:pPr>
        <w:jc w:val="both"/>
        <w:rPr>
          <w:rFonts w:ascii="Times New Roman" w:hAnsi="Times New Roman" w:cs="Times New Roman"/>
          <w:sz w:val="24"/>
          <w:szCs w:val="24"/>
        </w:rPr>
      </w:pPr>
      <w:r w:rsidRPr="00DB6BC5">
        <w:rPr>
          <w:rFonts w:ascii="Times New Roman" w:hAnsi="Times New Roman" w:cs="Times New Roman"/>
          <w:sz w:val="24"/>
          <w:szCs w:val="24"/>
          <w:lang w:val="en-GB"/>
        </w:rPr>
        <w:t>G</w:t>
      </w:r>
      <w:r w:rsidRPr="00DB6BC5">
        <w:rPr>
          <w:rFonts w:ascii="Times New Roman" w:hAnsi="Times New Roman" w:cs="Times New Roman"/>
          <w:sz w:val="24"/>
          <w:szCs w:val="24"/>
        </w:rPr>
        <w:t>reat differences in results once again show that the issue of openness cannot be tackled without clear policy of openness based on strategic documents and serious approach of public authorities at local level.</w:t>
      </w:r>
    </w:p>
    <w:p w14:paraId="0D272C96" w14:textId="4FB8005A" w:rsidR="00036F2E" w:rsidRPr="00DB6BC5" w:rsidRDefault="00036F2E" w:rsidP="00DB6BC5">
      <w:p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sz w:val="24"/>
          <w:szCs w:val="24"/>
        </w:rPr>
        <w:lastRenderedPageBreak/>
        <w:t>Municipalities not only do not meet some basic postulates of openness, but they violate the legal obligation of proactive access to information without consequence</w:t>
      </w:r>
      <w:r w:rsidRPr="00DB6BC5">
        <w:rPr>
          <w:rFonts w:ascii="Times New Roman" w:hAnsi="Times New Roman" w:cs="Times New Roman"/>
          <w:sz w:val="24"/>
          <w:szCs w:val="24"/>
          <w:lang w:val="en-GB"/>
        </w:rPr>
        <w:t>.</w:t>
      </w:r>
    </w:p>
    <w:p w14:paraId="60F26C90" w14:textId="77777777" w:rsidR="00036F2E" w:rsidRPr="00DB6BC5" w:rsidRDefault="00036F2E" w:rsidP="00DB6BC5">
      <w:pPr>
        <w:spacing w:after="0"/>
        <w:jc w:val="both"/>
        <w:rPr>
          <w:rFonts w:ascii="Times New Roman" w:eastAsia="Times New Roman" w:hAnsi="Times New Roman" w:cs="Times New Roman"/>
          <w:color w:val="000000"/>
          <w:sz w:val="24"/>
          <w:szCs w:val="24"/>
          <w:lang w:val="en-GB" w:eastAsia="en-GB"/>
        </w:rPr>
      </w:pPr>
    </w:p>
    <w:p w14:paraId="344EE363" w14:textId="043EE967" w:rsidR="007F549F" w:rsidRPr="00DB6BC5" w:rsidRDefault="00036F2E" w:rsidP="00DB6BC5">
      <w:pPr>
        <w:pStyle w:val="ListParagraph"/>
        <w:numPr>
          <w:ilvl w:val="2"/>
          <w:numId w:val="1"/>
        </w:numPr>
        <w:spacing w:after="0"/>
        <w:jc w:val="both"/>
        <w:rPr>
          <w:rFonts w:ascii="Times New Roman" w:eastAsia="Times New Roman" w:hAnsi="Times New Roman" w:cs="Times New Roman"/>
          <w:color w:val="000000"/>
          <w:sz w:val="24"/>
          <w:szCs w:val="24"/>
          <w:lang w:val="en-GB" w:eastAsia="en-GB"/>
        </w:rPr>
      </w:pPr>
      <w:r w:rsidRPr="00DB6BC5">
        <w:rPr>
          <w:rFonts w:ascii="Times New Roman" w:eastAsia="Times New Roman" w:hAnsi="Times New Roman" w:cs="Times New Roman"/>
          <w:color w:val="000000"/>
          <w:sz w:val="24"/>
          <w:szCs w:val="24"/>
          <w:lang w:val="en-GB" w:eastAsia="en-GB"/>
        </w:rPr>
        <w:t>ACTION STEPS</w:t>
      </w:r>
    </w:p>
    <w:p w14:paraId="78167E22" w14:textId="77777777" w:rsidR="007F549F" w:rsidRPr="00DB6BC5" w:rsidRDefault="007F549F" w:rsidP="00DB6BC5">
      <w:pPr>
        <w:pStyle w:val="ListParagraph"/>
        <w:spacing w:after="0"/>
        <w:ind w:left="1080"/>
        <w:jc w:val="both"/>
        <w:rPr>
          <w:rFonts w:ascii="Times New Roman" w:eastAsia="Times New Roman" w:hAnsi="Times New Roman" w:cs="Times New Roman"/>
          <w:color w:val="000000"/>
          <w:sz w:val="24"/>
          <w:szCs w:val="24"/>
          <w:lang w:val="en-GB" w:eastAsia="en-GB"/>
        </w:rPr>
      </w:pPr>
    </w:p>
    <w:p w14:paraId="5C75DA24" w14:textId="35E3C158" w:rsidR="007C04E1" w:rsidRPr="00DB6BC5" w:rsidRDefault="00036F2E" w:rsidP="00DB6BC5">
      <w:pPr>
        <w:jc w:val="both"/>
        <w:rPr>
          <w:rFonts w:ascii="Times New Roman" w:hAnsi="Times New Roman" w:cs="Times New Roman"/>
          <w:sz w:val="24"/>
          <w:szCs w:val="24"/>
        </w:rPr>
      </w:pPr>
      <w:r w:rsidRPr="00DB6BC5">
        <w:rPr>
          <w:rFonts w:ascii="Times New Roman" w:hAnsi="Times New Roman" w:cs="Times New Roman"/>
          <w:sz w:val="24"/>
          <w:szCs w:val="24"/>
        </w:rPr>
        <w:t>Last year's findings remain unchanged this year – closedness of local self-governments is recorded in several fields: from the implementation of the Law on Free Access to Information, through displaying how the institutions spend citizens’ money, to the use of obsolete means of communication</w:t>
      </w:r>
      <w:r w:rsidRPr="00DB6BC5">
        <w:rPr>
          <w:rFonts w:ascii="Times New Roman" w:hAnsi="Times New Roman" w:cs="Times New Roman"/>
          <w:sz w:val="24"/>
          <w:szCs w:val="24"/>
          <w:lang w:val="en-GB"/>
        </w:rPr>
        <w:t xml:space="preserve">. </w:t>
      </w:r>
      <w:r w:rsidRPr="00DB6BC5">
        <w:rPr>
          <w:rFonts w:ascii="Times New Roman" w:hAnsi="Times New Roman" w:cs="Times New Roman"/>
          <w:sz w:val="24"/>
          <w:szCs w:val="24"/>
        </w:rPr>
        <w:t>It is necessary for local self-governments to urgently change this practice and to start informing citizens more actively about all the actions and results of their work and manners of functioning, but also to take advantage of all the opportunities for greater involvement of citizens in the decision-making process. Below we present a set of recommendations for improvement:</w:t>
      </w:r>
    </w:p>
    <w:p w14:paraId="5801B482" w14:textId="4536659B" w:rsidR="00036F2E" w:rsidRPr="00DB6BC5" w:rsidRDefault="00036F2E" w:rsidP="00DB6BC5">
      <w:pPr>
        <w:pStyle w:val="ListParagraph"/>
        <w:numPr>
          <w:ilvl w:val="0"/>
          <w:numId w:val="7"/>
        </w:numPr>
        <w:jc w:val="both"/>
        <w:rPr>
          <w:rFonts w:ascii="Times New Roman" w:hAnsi="Times New Roman" w:cs="Times New Roman"/>
          <w:b/>
          <w:sz w:val="24"/>
          <w:szCs w:val="24"/>
        </w:rPr>
      </w:pPr>
      <w:r w:rsidRPr="00DB6BC5">
        <w:rPr>
          <w:rFonts w:ascii="Times New Roman" w:hAnsi="Times New Roman" w:cs="Times New Roman"/>
          <w:sz w:val="24"/>
          <w:szCs w:val="24"/>
        </w:rPr>
        <w:t>Improve arrangement and organization of local self-government websites</w:t>
      </w:r>
      <w:r w:rsidRPr="00DB6BC5">
        <w:rPr>
          <w:rFonts w:ascii="Times New Roman" w:hAnsi="Times New Roman" w:cs="Times New Roman"/>
          <w:sz w:val="24"/>
          <w:szCs w:val="24"/>
          <w:lang w:val="en-GB"/>
        </w:rPr>
        <w:t>.</w:t>
      </w:r>
      <w:r w:rsidRPr="00DB6BC5">
        <w:rPr>
          <w:rFonts w:ascii="Times New Roman" w:hAnsi="Times New Roman" w:cs="Times New Roman"/>
          <w:b/>
          <w:sz w:val="24"/>
          <w:szCs w:val="24"/>
          <w:lang w:val="en-GB"/>
        </w:rPr>
        <w:t xml:space="preserve"> </w:t>
      </w:r>
      <w:r w:rsidRPr="00DB6BC5">
        <w:rPr>
          <w:rFonts w:ascii="Times New Roman" w:hAnsi="Times New Roman" w:cs="Times New Roman"/>
          <w:sz w:val="24"/>
          <w:szCs w:val="24"/>
        </w:rPr>
        <w:t>Local self-government websites are often not transparent and searchable and it is necessary to work on their improvement.</w:t>
      </w:r>
      <w:r w:rsidRPr="00DB6BC5">
        <w:rPr>
          <w:rFonts w:ascii="Times New Roman" w:hAnsi="Times New Roman" w:cs="Times New Roman"/>
          <w:sz w:val="24"/>
          <w:szCs w:val="24"/>
          <w:lang w:val="en-GB"/>
        </w:rPr>
        <w:t xml:space="preserve"> </w:t>
      </w:r>
      <w:r w:rsidRPr="00DB6BC5">
        <w:rPr>
          <w:rFonts w:ascii="Times New Roman" w:hAnsi="Times New Roman" w:cs="Times New Roman"/>
          <w:sz w:val="24"/>
          <w:szCs w:val="24"/>
        </w:rPr>
        <w:t>Unsorted information and outdated sections are not a rare case, and combined with limited search possibilities it gets more difficult for the users to obtain the desired information with as few clicks as possible</w:t>
      </w:r>
      <w:r w:rsidRPr="00DB6BC5">
        <w:rPr>
          <w:rFonts w:ascii="Times New Roman" w:hAnsi="Times New Roman" w:cs="Times New Roman"/>
          <w:sz w:val="24"/>
          <w:szCs w:val="24"/>
          <w:lang w:val="sr-Latn-RS"/>
        </w:rPr>
        <w:t>;</w:t>
      </w:r>
    </w:p>
    <w:p w14:paraId="55D4CE18" w14:textId="52E4CD50" w:rsidR="004D3421" w:rsidRPr="00DB6BC5" w:rsidRDefault="00036F2E" w:rsidP="00DB6BC5">
      <w:pPr>
        <w:pStyle w:val="ListParagraph"/>
        <w:numPr>
          <w:ilvl w:val="0"/>
          <w:numId w:val="7"/>
        </w:numPr>
        <w:spacing w:after="0"/>
        <w:jc w:val="both"/>
        <w:rPr>
          <w:rFonts w:ascii="Times New Roman" w:eastAsia="Times New Roman" w:hAnsi="Times New Roman" w:cs="Times New Roman"/>
          <w:color w:val="000000"/>
          <w:sz w:val="24"/>
          <w:szCs w:val="24"/>
          <w:lang w:val="en-GB" w:eastAsia="en-GB"/>
        </w:rPr>
      </w:pPr>
      <w:r w:rsidRPr="00DB6BC5">
        <w:rPr>
          <w:rFonts w:ascii="Times New Roman" w:eastAsia="Times New Roman" w:hAnsi="Times New Roman" w:cs="Times New Roman"/>
          <w:color w:val="000000"/>
          <w:sz w:val="24"/>
          <w:szCs w:val="24"/>
          <w:lang w:val="en-GB" w:eastAsia="en-GB"/>
        </w:rPr>
        <w:t>Publish data in open data format;</w:t>
      </w:r>
    </w:p>
    <w:p w14:paraId="6E90A75C" w14:textId="77777777" w:rsidR="00036F2E" w:rsidRPr="00DB6BC5" w:rsidRDefault="00036F2E" w:rsidP="00DB6BC5">
      <w:pPr>
        <w:pStyle w:val="ListParagraph"/>
        <w:numPr>
          <w:ilvl w:val="0"/>
          <w:numId w:val="7"/>
        </w:numPr>
        <w:jc w:val="both"/>
        <w:rPr>
          <w:rFonts w:ascii="Times New Roman" w:hAnsi="Times New Roman" w:cs="Times New Roman"/>
          <w:sz w:val="24"/>
          <w:szCs w:val="24"/>
        </w:rPr>
      </w:pPr>
      <w:r w:rsidRPr="00DB6BC5">
        <w:rPr>
          <w:rFonts w:ascii="Times New Roman" w:hAnsi="Times New Roman" w:cs="Times New Roman"/>
          <w:sz w:val="24"/>
          <w:szCs w:val="24"/>
        </w:rPr>
        <w:t>Proactively publish organizational and financial information about the work of municipalities</w:t>
      </w:r>
    </w:p>
    <w:p w14:paraId="36F8335D" w14:textId="55BC67E7" w:rsidR="004D3421" w:rsidRPr="00DB6BC5" w:rsidRDefault="00036F2E" w:rsidP="00DB6BC5">
      <w:pPr>
        <w:pStyle w:val="ListParagraph"/>
        <w:numPr>
          <w:ilvl w:val="0"/>
          <w:numId w:val="8"/>
        </w:num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sz w:val="24"/>
          <w:szCs w:val="24"/>
        </w:rPr>
        <w:t>Although it is not a legal obligation, municipalities can prepare work plans of the president and the services, as well as work reports of local assemblies, because there are no legal obstacles for doing so. However, the results of our research show that municipalities are generally not sufficiently committed to informing citizens about their work and manner of functioning, given the fact that they do not even publish legally prescribed documents</w:t>
      </w:r>
      <w:r w:rsidRPr="00DB6BC5">
        <w:rPr>
          <w:rFonts w:ascii="Times New Roman" w:hAnsi="Times New Roman" w:cs="Times New Roman"/>
          <w:sz w:val="24"/>
          <w:szCs w:val="24"/>
          <w:lang w:val="sr-Latn-RS"/>
        </w:rPr>
        <w:t>. It is necessary to publish work programmes and plans of local assemblies and work reports of of the president;</w:t>
      </w:r>
    </w:p>
    <w:p w14:paraId="28CF14F3" w14:textId="6DC08DE3" w:rsidR="00036F2E" w:rsidRPr="00DB6BC5" w:rsidRDefault="00036F2E" w:rsidP="00DB6BC5">
      <w:pPr>
        <w:pStyle w:val="ListParagraph"/>
        <w:numPr>
          <w:ilvl w:val="0"/>
          <w:numId w:val="8"/>
        </w:numPr>
        <w:jc w:val="both"/>
        <w:rPr>
          <w:rFonts w:ascii="Times New Roman" w:hAnsi="Times New Roman" w:cs="Times New Roman"/>
          <w:sz w:val="24"/>
          <w:szCs w:val="24"/>
        </w:rPr>
      </w:pPr>
      <w:r w:rsidRPr="00DB6BC5">
        <w:rPr>
          <w:rFonts w:ascii="Times New Roman" w:hAnsi="Times New Roman" w:cs="Times New Roman"/>
          <w:sz w:val="24"/>
          <w:szCs w:val="24"/>
          <w:lang w:val="sr-Latn-RS"/>
        </w:rPr>
        <w:t>P</w:t>
      </w:r>
      <w:r w:rsidRPr="00DB6BC5">
        <w:rPr>
          <w:rFonts w:ascii="Times New Roman" w:hAnsi="Times New Roman" w:cs="Times New Roman"/>
          <w:sz w:val="24"/>
          <w:szCs w:val="24"/>
        </w:rPr>
        <w:t xml:space="preserve">ublish a list of civil servants and employees with their titles. </w:t>
      </w:r>
      <w:r w:rsidRPr="00DB6BC5">
        <w:rPr>
          <w:rFonts w:ascii="Times New Roman" w:hAnsi="Times New Roman" w:cs="Times New Roman"/>
          <w:sz w:val="24"/>
          <w:szCs w:val="24"/>
          <w:lang w:val="sr-Latn-RS"/>
        </w:rPr>
        <w:t>P</w:t>
      </w:r>
      <w:r w:rsidRPr="00DB6BC5">
        <w:rPr>
          <w:rFonts w:ascii="Times New Roman" w:hAnsi="Times New Roman" w:cs="Times New Roman"/>
          <w:sz w:val="24"/>
          <w:szCs w:val="24"/>
        </w:rPr>
        <w:t>ublish information on earnings of public officials;</w:t>
      </w:r>
    </w:p>
    <w:p w14:paraId="3CA639BA" w14:textId="16AF5718" w:rsidR="004D3421" w:rsidRPr="00DB6BC5" w:rsidRDefault="00036F2E" w:rsidP="00DB6BC5">
      <w:pPr>
        <w:pStyle w:val="ListParagraph"/>
        <w:numPr>
          <w:ilvl w:val="0"/>
          <w:numId w:val="8"/>
        </w:num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sz w:val="24"/>
          <w:szCs w:val="24"/>
          <w:lang w:val="sr-Latn-RS"/>
        </w:rPr>
        <w:t xml:space="preserve">Publish </w:t>
      </w:r>
      <w:r w:rsidRPr="00DB6BC5">
        <w:rPr>
          <w:rFonts w:ascii="Times New Roman" w:hAnsi="Times New Roman" w:cs="Times New Roman"/>
          <w:sz w:val="24"/>
          <w:szCs w:val="24"/>
        </w:rPr>
        <w:t>budgets and final statements of accounts</w:t>
      </w:r>
      <w:r w:rsidRPr="00DB6BC5">
        <w:rPr>
          <w:rFonts w:ascii="Times New Roman" w:hAnsi="Times New Roman" w:cs="Times New Roman"/>
          <w:sz w:val="24"/>
          <w:szCs w:val="24"/>
          <w:lang w:val="sr-Latn-RS"/>
        </w:rPr>
        <w:t>;</w:t>
      </w:r>
    </w:p>
    <w:p w14:paraId="4538912E" w14:textId="2D68BBD8" w:rsidR="00036F2E" w:rsidRPr="00DB6BC5" w:rsidRDefault="00036F2E" w:rsidP="00DB6BC5">
      <w:pPr>
        <w:pStyle w:val="ListParagraph"/>
        <w:numPr>
          <w:ilvl w:val="0"/>
          <w:numId w:val="8"/>
        </w:numPr>
        <w:jc w:val="both"/>
        <w:rPr>
          <w:rFonts w:ascii="Times New Roman" w:hAnsi="Times New Roman" w:cs="Times New Roman"/>
          <w:sz w:val="24"/>
          <w:szCs w:val="24"/>
        </w:rPr>
      </w:pPr>
      <w:r w:rsidRPr="00DB6BC5">
        <w:rPr>
          <w:rFonts w:ascii="Times New Roman" w:hAnsi="Times New Roman" w:cs="Times New Roman"/>
          <w:sz w:val="24"/>
          <w:szCs w:val="24"/>
          <w:lang w:val="sr-Latn-RS"/>
        </w:rPr>
        <w:t>Publish „Budget for Citizens“</w:t>
      </w:r>
      <w:r w:rsidRPr="00DB6BC5">
        <w:rPr>
          <w:rFonts w:ascii="Times New Roman" w:hAnsi="Times New Roman" w:cs="Times New Roman"/>
          <w:sz w:val="24"/>
          <w:szCs w:val="24"/>
        </w:rPr>
        <w:t>, with the help of which citizens, as the main actors in budget creation, would gain insight into spending money in a simple and understandable way;</w:t>
      </w:r>
    </w:p>
    <w:p w14:paraId="5FACE1DF" w14:textId="4A6A30FE" w:rsidR="00036F2E" w:rsidRPr="00DB6BC5" w:rsidRDefault="00036F2E" w:rsidP="00DB6BC5">
      <w:pPr>
        <w:pStyle w:val="ListParagraph"/>
        <w:numPr>
          <w:ilvl w:val="0"/>
          <w:numId w:val="8"/>
        </w:num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sz w:val="24"/>
          <w:szCs w:val="24"/>
          <w:lang w:val="en"/>
        </w:rPr>
        <w:t>Publish complete information on public procurements (plans, calls, decisions, contracts, annexes);</w:t>
      </w:r>
    </w:p>
    <w:p w14:paraId="66463E69" w14:textId="35D6FF13" w:rsidR="004D3421" w:rsidRPr="00DB6BC5" w:rsidRDefault="00036F2E" w:rsidP="00DB6BC5">
      <w:pPr>
        <w:pStyle w:val="ListParagraph"/>
        <w:numPr>
          <w:ilvl w:val="0"/>
          <w:numId w:val="8"/>
        </w:numPr>
        <w:spacing w:after="0"/>
        <w:jc w:val="both"/>
        <w:rPr>
          <w:rFonts w:ascii="Times New Roman" w:eastAsia="Times New Roman" w:hAnsi="Times New Roman" w:cs="Times New Roman"/>
          <w:color w:val="000000"/>
          <w:sz w:val="24"/>
          <w:szCs w:val="24"/>
          <w:lang w:val="en-GB" w:eastAsia="en-GB"/>
        </w:rPr>
      </w:pPr>
      <w:r w:rsidRPr="00DB6BC5">
        <w:rPr>
          <w:rFonts w:ascii="Times New Roman" w:eastAsia="Times New Roman" w:hAnsi="Times New Roman" w:cs="Times New Roman"/>
          <w:color w:val="000000"/>
          <w:sz w:val="24"/>
          <w:szCs w:val="24"/>
          <w:lang w:val="en-GB" w:eastAsia="en-GB"/>
        </w:rPr>
        <w:t>Publish Integrity plans;</w:t>
      </w:r>
    </w:p>
    <w:p w14:paraId="69F109A8" w14:textId="1ED65D0C" w:rsidR="00036F2E" w:rsidRPr="00DB6BC5" w:rsidRDefault="00036F2E" w:rsidP="00DB6BC5">
      <w:pPr>
        <w:pStyle w:val="ListParagraph"/>
        <w:numPr>
          <w:ilvl w:val="0"/>
          <w:numId w:val="18"/>
        </w:numPr>
        <w:jc w:val="both"/>
        <w:rPr>
          <w:rFonts w:ascii="Times New Roman" w:hAnsi="Times New Roman" w:cs="Times New Roman"/>
          <w:sz w:val="24"/>
          <w:szCs w:val="24"/>
        </w:rPr>
      </w:pPr>
      <w:r w:rsidRPr="00DB6BC5">
        <w:rPr>
          <w:rFonts w:ascii="Times New Roman" w:hAnsi="Times New Roman" w:cs="Times New Roman"/>
          <w:sz w:val="24"/>
          <w:szCs w:val="24"/>
        </w:rPr>
        <w:lastRenderedPageBreak/>
        <w:t>Ensure publicity of the decision-making process in municipalities</w:t>
      </w:r>
      <w:r w:rsidRPr="00DB6BC5">
        <w:rPr>
          <w:rFonts w:ascii="Times New Roman" w:hAnsi="Times New Roman" w:cs="Times New Roman"/>
          <w:sz w:val="24"/>
          <w:szCs w:val="24"/>
          <w:lang w:val="sr-Latn-RS"/>
        </w:rPr>
        <w:t xml:space="preserve">, by introducing </w:t>
      </w:r>
      <w:r w:rsidRPr="00DB6BC5">
        <w:rPr>
          <w:rFonts w:ascii="Times New Roman" w:hAnsi="Times New Roman" w:cs="Times New Roman"/>
          <w:sz w:val="24"/>
          <w:szCs w:val="24"/>
        </w:rPr>
        <w:t>audio or video transmission of the sessions of the assembly through their websites.</w:t>
      </w:r>
      <w:r w:rsidRPr="00DB6BC5">
        <w:rPr>
          <w:rFonts w:ascii="Times New Roman" w:hAnsi="Times New Roman" w:cs="Times New Roman"/>
          <w:sz w:val="24"/>
          <w:szCs w:val="24"/>
          <w:lang w:val="sr-Latn-RS"/>
        </w:rPr>
        <w:t xml:space="preserve"> Publish</w:t>
      </w:r>
      <w:r w:rsidRPr="00DB6BC5">
        <w:rPr>
          <w:rFonts w:ascii="Times New Roman" w:hAnsi="Times New Roman" w:cs="Times New Roman"/>
          <w:sz w:val="24"/>
          <w:szCs w:val="24"/>
        </w:rPr>
        <w:t xml:space="preserve"> the minutes of the sessions </w:t>
      </w:r>
      <w:r w:rsidRPr="00DB6BC5">
        <w:rPr>
          <w:rFonts w:ascii="Times New Roman" w:hAnsi="Times New Roman" w:cs="Times New Roman"/>
          <w:sz w:val="24"/>
          <w:szCs w:val="24"/>
          <w:lang w:val="sr-Latn-RS"/>
        </w:rPr>
        <w:t>and</w:t>
      </w:r>
      <w:r w:rsidRPr="00DB6BC5">
        <w:rPr>
          <w:rFonts w:ascii="Times New Roman" w:hAnsi="Times New Roman" w:cs="Times New Roman"/>
          <w:sz w:val="24"/>
          <w:szCs w:val="24"/>
        </w:rPr>
        <w:t xml:space="preserve"> press releases after the held sessions, </w:t>
      </w:r>
      <w:r w:rsidRPr="00DB6BC5">
        <w:rPr>
          <w:rFonts w:ascii="Times New Roman" w:hAnsi="Times New Roman" w:cs="Times New Roman"/>
          <w:sz w:val="24"/>
          <w:szCs w:val="24"/>
          <w:lang w:val="sr-Latn-RS"/>
        </w:rPr>
        <w:t>in order to</w:t>
      </w:r>
      <w:r w:rsidRPr="00DB6BC5">
        <w:rPr>
          <w:rFonts w:ascii="Times New Roman" w:hAnsi="Times New Roman" w:cs="Times New Roman"/>
          <w:sz w:val="24"/>
          <w:szCs w:val="24"/>
        </w:rPr>
        <w:t xml:space="preserve"> inform citizens more closely about the decisions they have made;</w:t>
      </w:r>
    </w:p>
    <w:p w14:paraId="1AB24E94" w14:textId="457F3B28" w:rsidR="00036F2E" w:rsidRPr="00DB6BC5" w:rsidRDefault="00036F2E" w:rsidP="00DB6BC5">
      <w:pPr>
        <w:pStyle w:val="ListParagraph"/>
        <w:numPr>
          <w:ilvl w:val="0"/>
          <w:numId w:val="18"/>
        </w:numPr>
        <w:jc w:val="both"/>
        <w:rPr>
          <w:rFonts w:ascii="Times New Roman" w:hAnsi="Times New Roman" w:cs="Times New Roman"/>
          <w:sz w:val="24"/>
          <w:szCs w:val="24"/>
        </w:rPr>
      </w:pPr>
      <w:r w:rsidRPr="00DB6BC5">
        <w:rPr>
          <w:rFonts w:ascii="Times New Roman" w:hAnsi="Times New Roman" w:cs="Times New Roman"/>
          <w:sz w:val="24"/>
          <w:szCs w:val="24"/>
        </w:rPr>
        <w:t>Provide unrestricted access to information of public importance</w:t>
      </w:r>
      <w:r w:rsidRPr="00DB6BC5">
        <w:rPr>
          <w:rFonts w:ascii="Times New Roman" w:hAnsi="Times New Roman" w:cs="Times New Roman"/>
          <w:sz w:val="24"/>
          <w:szCs w:val="24"/>
          <w:lang w:val="sr-Latn-RS"/>
        </w:rPr>
        <w:t>:</w:t>
      </w:r>
    </w:p>
    <w:p w14:paraId="6FEC3EBB" w14:textId="77777777" w:rsidR="00737867" w:rsidRPr="00DB6BC5" w:rsidRDefault="00737867" w:rsidP="00DB6BC5">
      <w:pPr>
        <w:pStyle w:val="ListParagraph"/>
        <w:numPr>
          <w:ilvl w:val="0"/>
          <w:numId w:val="9"/>
        </w:num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sz w:val="24"/>
          <w:szCs w:val="24"/>
          <w:lang w:val="sr-Latn-RS"/>
        </w:rPr>
        <w:t xml:space="preserve">Publish </w:t>
      </w:r>
      <w:r w:rsidRPr="00DB6BC5">
        <w:rPr>
          <w:rFonts w:ascii="Times New Roman" w:hAnsi="Times New Roman" w:cs="Times New Roman"/>
          <w:sz w:val="24"/>
          <w:szCs w:val="24"/>
        </w:rPr>
        <w:t>the updated Guidelines for free access to information</w:t>
      </w:r>
      <w:r w:rsidRPr="00DB6BC5">
        <w:rPr>
          <w:rFonts w:ascii="Times New Roman" w:hAnsi="Times New Roman" w:cs="Times New Roman"/>
          <w:sz w:val="24"/>
          <w:szCs w:val="24"/>
          <w:lang w:val="sr-Latn-RS"/>
        </w:rPr>
        <w:t>;</w:t>
      </w:r>
    </w:p>
    <w:p w14:paraId="16CB8C2A" w14:textId="77777777" w:rsidR="00737867" w:rsidRPr="00DB6BC5" w:rsidRDefault="00737867" w:rsidP="00DB6BC5">
      <w:pPr>
        <w:pStyle w:val="ListParagraph"/>
        <w:numPr>
          <w:ilvl w:val="0"/>
          <w:numId w:val="9"/>
        </w:numPr>
        <w:spacing w:after="0"/>
        <w:jc w:val="both"/>
        <w:rPr>
          <w:rFonts w:ascii="Times New Roman" w:eastAsia="Times New Roman" w:hAnsi="Times New Roman" w:cs="Times New Roman"/>
          <w:color w:val="000000"/>
          <w:sz w:val="24"/>
          <w:szCs w:val="24"/>
          <w:lang w:val="en-GB" w:eastAsia="en-GB"/>
        </w:rPr>
      </w:pPr>
      <w:r w:rsidRPr="00DB6BC5">
        <w:rPr>
          <w:rFonts w:ascii="Times New Roman" w:eastAsia="Times New Roman" w:hAnsi="Times New Roman" w:cs="Times New Roman"/>
          <w:color w:val="000000"/>
          <w:sz w:val="24"/>
          <w:szCs w:val="24"/>
          <w:lang w:val="en-GB" w:eastAsia="en-GB"/>
        </w:rPr>
        <w:t xml:space="preserve"> Publish c</w:t>
      </w:r>
      <w:r w:rsidRPr="00DB6BC5">
        <w:rPr>
          <w:rFonts w:ascii="Times New Roman" w:hAnsi="Times New Roman" w:cs="Times New Roman"/>
          <w:sz w:val="24"/>
          <w:szCs w:val="24"/>
        </w:rPr>
        <w:t>ontact persons responsible for handling the requests for free access to information</w:t>
      </w:r>
      <w:r w:rsidRPr="00DB6BC5">
        <w:rPr>
          <w:rFonts w:ascii="Times New Roman" w:hAnsi="Times New Roman" w:cs="Times New Roman"/>
          <w:sz w:val="24"/>
          <w:szCs w:val="24"/>
          <w:lang w:val="sr-Latn-RS"/>
        </w:rPr>
        <w:t>;</w:t>
      </w:r>
    </w:p>
    <w:p w14:paraId="59DE0694" w14:textId="77777777" w:rsidR="00737867" w:rsidRPr="00DB6BC5" w:rsidRDefault="00737867" w:rsidP="00DB6BC5">
      <w:pPr>
        <w:pStyle w:val="ListParagraph"/>
        <w:numPr>
          <w:ilvl w:val="0"/>
          <w:numId w:val="9"/>
        </w:num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sz w:val="24"/>
          <w:szCs w:val="24"/>
          <w:lang w:val="sr-Latn-RS"/>
        </w:rPr>
        <w:t>P</w:t>
      </w:r>
      <w:r w:rsidRPr="00DB6BC5">
        <w:rPr>
          <w:rFonts w:ascii="Times New Roman" w:hAnsi="Times New Roman" w:cs="Times New Roman"/>
          <w:sz w:val="24"/>
          <w:szCs w:val="24"/>
        </w:rPr>
        <w:t>ublishing information that has already been granted access upon reques</w:t>
      </w:r>
      <w:r w:rsidRPr="00DB6BC5">
        <w:rPr>
          <w:rFonts w:ascii="Times New Roman" w:hAnsi="Times New Roman" w:cs="Times New Roman"/>
          <w:sz w:val="24"/>
          <w:szCs w:val="24"/>
          <w:lang w:val="sr-Latn-RS"/>
        </w:rPr>
        <w:t>t</w:t>
      </w:r>
    </w:p>
    <w:p w14:paraId="66089F64" w14:textId="01F3B653" w:rsidR="00EB339A" w:rsidRPr="00DB6BC5" w:rsidRDefault="00737867" w:rsidP="00DB6BC5">
      <w:pPr>
        <w:pStyle w:val="ListParagraph"/>
        <w:numPr>
          <w:ilvl w:val="0"/>
          <w:numId w:val="19"/>
        </w:numPr>
        <w:jc w:val="both"/>
        <w:rPr>
          <w:rFonts w:ascii="Times New Roman" w:hAnsi="Times New Roman" w:cs="Times New Roman"/>
          <w:sz w:val="24"/>
          <w:szCs w:val="24"/>
        </w:rPr>
      </w:pPr>
      <w:r w:rsidRPr="00DB6BC5">
        <w:rPr>
          <w:rFonts w:ascii="Times New Roman" w:hAnsi="Times New Roman" w:cs="Times New Roman"/>
          <w:sz w:val="24"/>
          <w:szCs w:val="24"/>
        </w:rPr>
        <w:t>Enhance communication with citizens and ensure efficient functioning of the service for citizens</w:t>
      </w:r>
    </w:p>
    <w:p w14:paraId="228B48C9" w14:textId="04D099D2" w:rsidR="00EB339A" w:rsidRPr="00DB6BC5" w:rsidRDefault="00737867" w:rsidP="00DB6BC5">
      <w:pPr>
        <w:pStyle w:val="ListParagraph"/>
        <w:numPr>
          <w:ilvl w:val="0"/>
          <w:numId w:val="11"/>
        </w:num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sz w:val="24"/>
          <w:szCs w:val="24"/>
          <w:lang w:val="sr-Latn-RS"/>
        </w:rPr>
        <w:t xml:space="preserve">Establish </w:t>
      </w:r>
      <w:r w:rsidRPr="00DB6BC5">
        <w:rPr>
          <w:rFonts w:ascii="Times New Roman" w:hAnsi="Times New Roman" w:cs="Times New Roman"/>
          <w:sz w:val="24"/>
          <w:szCs w:val="24"/>
        </w:rPr>
        <w:t>bureau for citizens, which would facilitate communication of citizens with the municipality and shorten the time for solving problems reported;</w:t>
      </w:r>
    </w:p>
    <w:p w14:paraId="5B6BFFB5" w14:textId="77777777" w:rsidR="00737867" w:rsidRPr="00DB6BC5" w:rsidRDefault="00737867" w:rsidP="00DB6BC5">
      <w:pPr>
        <w:pStyle w:val="ListParagraph"/>
        <w:numPr>
          <w:ilvl w:val="0"/>
          <w:numId w:val="11"/>
        </w:numPr>
        <w:spacing w:after="0"/>
        <w:jc w:val="both"/>
        <w:rPr>
          <w:rFonts w:ascii="Times New Roman" w:eastAsia="Times New Roman" w:hAnsi="Times New Roman" w:cs="Times New Roman"/>
          <w:color w:val="000000"/>
          <w:sz w:val="24"/>
          <w:szCs w:val="24"/>
          <w:lang w:val="en-GB" w:eastAsia="en-GB"/>
        </w:rPr>
      </w:pPr>
      <w:r w:rsidRPr="00DB6BC5">
        <w:rPr>
          <w:rFonts w:ascii="Times New Roman" w:eastAsia="Times New Roman" w:hAnsi="Times New Roman" w:cs="Times New Roman"/>
          <w:color w:val="000000"/>
          <w:sz w:val="24"/>
          <w:szCs w:val="24"/>
          <w:lang w:val="en-GB" w:eastAsia="en-GB"/>
        </w:rPr>
        <w:t xml:space="preserve">Determine </w:t>
      </w:r>
      <w:r w:rsidRPr="00DB6BC5">
        <w:rPr>
          <w:rFonts w:ascii="Times New Roman" w:hAnsi="Times New Roman" w:cs="Times New Roman"/>
          <w:sz w:val="24"/>
          <w:szCs w:val="24"/>
        </w:rPr>
        <w:t>permanent term for consultations with the municipal president</w:t>
      </w:r>
      <w:r w:rsidRPr="00DB6BC5">
        <w:rPr>
          <w:rFonts w:ascii="Times New Roman" w:eastAsia="Times New Roman" w:hAnsi="Times New Roman" w:cs="Times New Roman"/>
          <w:color w:val="000000"/>
          <w:sz w:val="24"/>
          <w:szCs w:val="24"/>
          <w:lang w:val="en-GB" w:eastAsia="en-GB"/>
        </w:rPr>
        <w:t>;</w:t>
      </w:r>
    </w:p>
    <w:p w14:paraId="3C78A351" w14:textId="7FB37951" w:rsidR="00737867" w:rsidRPr="00DB6BC5" w:rsidRDefault="00737867" w:rsidP="00DB6BC5">
      <w:pPr>
        <w:pStyle w:val="ListParagraph"/>
        <w:numPr>
          <w:ilvl w:val="0"/>
          <w:numId w:val="11"/>
        </w:numPr>
        <w:spacing w:after="0"/>
        <w:jc w:val="both"/>
        <w:rPr>
          <w:rFonts w:ascii="Times New Roman" w:eastAsia="Times New Roman" w:hAnsi="Times New Roman" w:cs="Times New Roman"/>
          <w:color w:val="000000"/>
          <w:sz w:val="24"/>
          <w:szCs w:val="24"/>
          <w:lang w:val="en-GB" w:eastAsia="en-GB"/>
        </w:rPr>
      </w:pPr>
      <w:r w:rsidRPr="00DB6BC5">
        <w:rPr>
          <w:rFonts w:ascii="Times New Roman" w:eastAsia="Times New Roman" w:hAnsi="Times New Roman" w:cs="Times New Roman"/>
          <w:color w:val="000000"/>
          <w:sz w:val="24"/>
          <w:szCs w:val="24"/>
          <w:lang w:val="en-GB" w:eastAsia="en-GB"/>
        </w:rPr>
        <w:t xml:space="preserve">Develop and publish </w:t>
      </w:r>
      <w:r w:rsidRPr="00DB6BC5">
        <w:rPr>
          <w:rFonts w:ascii="Times New Roman" w:hAnsi="Times New Roman" w:cs="Times New Roman"/>
          <w:sz w:val="24"/>
          <w:szCs w:val="24"/>
        </w:rPr>
        <w:t xml:space="preserve">monthly bulletin about </w:t>
      </w:r>
      <w:r w:rsidRPr="00DB6BC5">
        <w:rPr>
          <w:rFonts w:ascii="Times New Roman" w:hAnsi="Times New Roman" w:cs="Times New Roman"/>
          <w:sz w:val="24"/>
          <w:szCs w:val="24"/>
          <w:lang w:val="sr-Latn-RS"/>
        </w:rPr>
        <w:t>municipal</w:t>
      </w:r>
      <w:r w:rsidRPr="00DB6BC5">
        <w:rPr>
          <w:rFonts w:ascii="Times New Roman" w:hAnsi="Times New Roman" w:cs="Times New Roman"/>
          <w:sz w:val="24"/>
          <w:szCs w:val="24"/>
        </w:rPr>
        <w:t xml:space="preserve"> work that would present all the current events of importance;</w:t>
      </w:r>
    </w:p>
    <w:p w14:paraId="00E3C115" w14:textId="77777777" w:rsidR="00737867" w:rsidRPr="00DB6BC5" w:rsidRDefault="00737867" w:rsidP="00DB6BC5">
      <w:pPr>
        <w:pStyle w:val="ListParagraph"/>
        <w:numPr>
          <w:ilvl w:val="0"/>
          <w:numId w:val="11"/>
        </w:numPr>
        <w:spacing w:after="0"/>
        <w:jc w:val="both"/>
        <w:rPr>
          <w:rFonts w:ascii="Times New Roman" w:eastAsia="Times New Roman" w:hAnsi="Times New Roman" w:cs="Times New Roman"/>
          <w:color w:val="000000"/>
          <w:sz w:val="24"/>
          <w:szCs w:val="24"/>
          <w:lang w:val="en-GB" w:eastAsia="en-GB"/>
        </w:rPr>
      </w:pPr>
      <w:r w:rsidRPr="00DB6BC5">
        <w:rPr>
          <w:rFonts w:ascii="Times New Roman" w:eastAsia="Times New Roman" w:hAnsi="Times New Roman" w:cs="Times New Roman"/>
          <w:color w:val="000000"/>
          <w:sz w:val="24"/>
          <w:szCs w:val="24"/>
          <w:lang w:val="en-GB" w:eastAsia="en-GB"/>
        </w:rPr>
        <w:t xml:space="preserve">Establish local self-governments as </w:t>
      </w:r>
      <w:r w:rsidRPr="00DB6BC5">
        <w:rPr>
          <w:rFonts w:ascii="Times New Roman" w:hAnsi="Times New Roman" w:cs="Times New Roman"/>
          <w:sz w:val="24"/>
          <w:szCs w:val="24"/>
        </w:rPr>
        <w:t>a service provider through the e-government portal;</w:t>
      </w:r>
    </w:p>
    <w:p w14:paraId="289520E4" w14:textId="0A277F55" w:rsidR="00EB339A" w:rsidRPr="00DB6BC5" w:rsidRDefault="00737867" w:rsidP="00DB6BC5">
      <w:pPr>
        <w:pStyle w:val="ListParagraph"/>
        <w:numPr>
          <w:ilvl w:val="0"/>
          <w:numId w:val="11"/>
        </w:numPr>
        <w:spacing w:after="0"/>
        <w:jc w:val="both"/>
        <w:rPr>
          <w:rFonts w:ascii="Times New Roman" w:eastAsia="Times New Roman" w:hAnsi="Times New Roman" w:cs="Times New Roman"/>
          <w:color w:val="000000"/>
          <w:sz w:val="24"/>
          <w:szCs w:val="24"/>
          <w:lang w:val="en-GB" w:eastAsia="en-GB"/>
        </w:rPr>
      </w:pPr>
      <w:r w:rsidRPr="00DB6BC5">
        <w:rPr>
          <w:rFonts w:ascii="Times New Roman" w:eastAsia="Times New Roman" w:hAnsi="Times New Roman" w:cs="Times New Roman"/>
          <w:color w:val="000000"/>
          <w:sz w:val="24"/>
          <w:szCs w:val="24"/>
          <w:lang w:val="en-GB" w:eastAsia="en-GB"/>
        </w:rPr>
        <w:t xml:space="preserve">Publish </w:t>
      </w:r>
      <w:r w:rsidRPr="00DB6BC5">
        <w:rPr>
          <w:rFonts w:ascii="Times New Roman" w:hAnsi="Times New Roman" w:cs="Times New Roman"/>
          <w:sz w:val="24"/>
          <w:szCs w:val="24"/>
        </w:rPr>
        <w:t>names and contact details of the presidents of local communities;</w:t>
      </w:r>
    </w:p>
    <w:p w14:paraId="1981ADE8" w14:textId="49BB7605" w:rsidR="00EB339A" w:rsidRPr="00DB6BC5" w:rsidRDefault="00737867" w:rsidP="00DB6BC5">
      <w:pPr>
        <w:pStyle w:val="ListParagraph"/>
        <w:numPr>
          <w:ilvl w:val="0"/>
          <w:numId w:val="11"/>
        </w:numPr>
        <w:spacing w:after="0"/>
        <w:jc w:val="both"/>
        <w:rPr>
          <w:rFonts w:ascii="Times New Roman" w:eastAsia="Times New Roman" w:hAnsi="Times New Roman" w:cs="Times New Roman"/>
          <w:color w:val="000000"/>
          <w:sz w:val="24"/>
          <w:szCs w:val="24"/>
          <w:lang w:val="en-GB" w:eastAsia="en-GB"/>
        </w:rPr>
      </w:pPr>
      <w:r w:rsidRPr="00DB6BC5">
        <w:rPr>
          <w:rFonts w:ascii="Times New Roman" w:eastAsia="Times New Roman" w:hAnsi="Times New Roman" w:cs="Times New Roman"/>
          <w:color w:val="000000"/>
          <w:sz w:val="24"/>
          <w:szCs w:val="24"/>
          <w:lang w:val="en-GB" w:eastAsia="en-GB"/>
        </w:rPr>
        <w:t>Create accounts on social networks.</w:t>
      </w:r>
    </w:p>
    <w:p w14:paraId="5FF34EA0" w14:textId="77777777" w:rsidR="004D3421" w:rsidRPr="00DB6BC5" w:rsidRDefault="004D3421" w:rsidP="00DB6BC5">
      <w:pPr>
        <w:spacing w:after="0"/>
        <w:jc w:val="both"/>
        <w:rPr>
          <w:rFonts w:ascii="Times New Roman" w:eastAsia="Times New Roman" w:hAnsi="Times New Roman" w:cs="Times New Roman"/>
          <w:color w:val="000000"/>
          <w:sz w:val="24"/>
          <w:szCs w:val="24"/>
          <w:lang w:val="en-GB" w:eastAsia="en-GB"/>
        </w:rPr>
      </w:pPr>
    </w:p>
    <w:p w14:paraId="141C3D26" w14:textId="77777777" w:rsidR="004D3421" w:rsidRPr="00DB6BC5" w:rsidRDefault="004D3421" w:rsidP="00DB6BC5">
      <w:pPr>
        <w:spacing w:after="0"/>
        <w:jc w:val="both"/>
        <w:rPr>
          <w:rFonts w:ascii="Times New Roman" w:eastAsia="Times New Roman" w:hAnsi="Times New Roman" w:cs="Times New Roman"/>
          <w:color w:val="000000"/>
          <w:sz w:val="24"/>
          <w:szCs w:val="24"/>
          <w:lang w:val="en-GB" w:eastAsia="en-GB"/>
        </w:rPr>
      </w:pPr>
    </w:p>
    <w:p w14:paraId="1A62994C" w14:textId="77777777" w:rsidR="004D3421" w:rsidRPr="00DB6BC5" w:rsidRDefault="004D3421" w:rsidP="00DB6BC5">
      <w:pPr>
        <w:spacing w:after="0"/>
        <w:jc w:val="both"/>
        <w:rPr>
          <w:rFonts w:ascii="Times New Roman" w:eastAsia="Times New Roman" w:hAnsi="Times New Roman" w:cs="Times New Roman"/>
          <w:color w:val="000000"/>
          <w:sz w:val="24"/>
          <w:szCs w:val="24"/>
          <w:lang w:val="en-GB" w:eastAsia="en-GB"/>
        </w:rPr>
      </w:pPr>
    </w:p>
    <w:p w14:paraId="539FBED1" w14:textId="77777777" w:rsidR="004D3421" w:rsidRPr="00DB6BC5" w:rsidRDefault="004D3421" w:rsidP="00DB6BC5">
      <w:pPr>
        <w:spacing w:after="0"/>
        <w:jc w:val="both"/>
        <w:rPr>
          <w:rFonts w:ascii="Times New Roman" w:eastAsia="Times New Roman" w:hAnsi="Times New Roman" w:cs="Times New Roman"/>
          <w:color w:val="000000"/>
          <w:sz w:val="24"/>
          <w:szCs w:val="24"/>
          <w:lang w:val="en-GB" w:eastAsia="en-GB"/>
        </w:rPr>
      </w:pPr>
    </w:p>
    <w:p w14:paraId="32683955" w14:textId="77777777" w:rsidR="004D3421" w:rsidRPr="00DB6BC5" w:rsidRDefault="004D3421" w:rsidP="00DB6BC5">
      <w:pPr>
        <w:spacing w:after="0"/>
        <w:jc w:val="both"/>
        <w:rPr>
          <w:rFonts w:ascii="Times New Roman" w:eastAsia="Times New Roman" w:hAnsi="Times New Roman" w:cs="Times New Roman"/>
          <w:color w:val="000000"/>
          <w:sz w:val="24"/>
          <w:szCs w:val="24"/>
          <w:lang w:val="en-GB" w:eastAsia="en-GB"/>
        </w:rPr>
      </w:pPr>
    </w:p>
    <w:p w14:paraId="23CA81D8" w14:textId="77777777" w:rsidR="007F549F" w:rsidRPr="00DB6BC5" w:rsidRDefault="007F549F" w:rsidP="00DB6BC5">
      <w:pPr>
        <w:spacing w:after="0"/>
        <w:jc w:val="both"/>
        <w:rPr>
          <w:rFonts w:ascii="Times New Roman" w:eastAsia="Times New Roman" w:hAnsi="Times New Roman" w:cs="Times New Roman"/>
          <w:color w:val="000000"/>
          <w:sz w:val="24"/>
          <w:szCs w:val="24"/>
          <w:lang w:val="en-US" w:eastAsia="en-GB"/>
        </w:rPr>
      </w:pPr>
    </w:p>
    <w:p w14:paraId="56287EA9" w14:textId="77777777" w:rsidR="007F549F" w:rsidRPr="00DB6BC5" w:rsidRDefault="007F549F" w:rsidP="00DB6BC5">
      <w:pPr>
        <w:spacing w:after="0"/>
        <w:jc w:val="both"/>
        <w:rPr>
          <w:rFonts w:ascii="Times New Roman" w:eastAsia="Times New Roman" w:hAnsi="Times New Roman" w:cs="Times New Roman"/>
          <w:color w:val="000000"/>
          <w:sz w:val="24"/>
          <w:szCs w:val="24"/>
          <w:lang w:val="en-US" w:eastAsia="en-GB"/>
        </w:rPr>
      </w:pPr>
    </w:p>
    <w:p w14:paraId="45ECB75E" w14:textId="77777777" w:rsidR="00AD412C" w:rsidRPr="00DB6BC5" w:rsidRDefault="00AD412C" w:rsidP="00DB6BC5">
      <w:pPr>
        <w:spacing w:after="0"/>
        <w:jc w:val="both"/>
        <w:rPr>
          <w:rFonts w:ascii="Times New Roman" w:eastAsia="Times New Roman" w:hAnsi="Times New Roman" w:cs="Times New Roman"/>
          <w:color w:val="000000"/>
          <w:sz w:val="24"/>
          <w:szCs w:val="24"/>
          <w:lang w:val="en-US" w:eastAsia="en-GB"/>
        </w:rPr>
      </w:pPr>
    </w:p>
    <w:p w14:paraId="25436033" w14:textId="77777777" w:rsidR="00AD412C" w:rsidRPr="00DB6BC5" w:rsidRDefault="00AD412C" w:rsidP="00DB6BC5">
      <w:pPr>
        <w:spacing w:after="0"/>
        <w:jc w:val="both"/>
        <w:rPr>
          <w:rFonts w:ascii="Times New Roman" w:eastAsia="Times New Roman" w:hAnsi="Times New Roman" w:cs="Times New Roman"/>
          <w:color w:val="000000"/>
          <w:sz w:val="24"/>
          <w:szCs w:val="24"/>
          <w:lang w:val="en-US" w:eastAsia="en-GB"/>
        </w:rPr>
      </w:pPr>
    </w:p>
    <w:p w14:paraId="24CE5035" w14:textId="77777777" w:rsidR="00AD412C" w:rsidRPr="00DB6BC5" w:rsidRDefault="00AD412C" w:rsidP="00DB6BC5">
      <w:pPr>
        <w:spacing w:after="0"/>
        <w:jc w:val="both"/>
        <w:rPr>
          <w:rFonts w:ascii="Times New Roman" w:eastAsia="Times New Roman" w:hAnsi="Times New Roman" w:cs="Times New Roman"/>
          <w:color w:val="000000"/>
          <w:sz w:val="24"/>
          <w:szCs w:val="24"/>
          <w:lang w:val="en-US" w:eastAsia="en-GB"/>
        </w:rPr>
      </w:pPr>
    </w:p>
    <w:p w14:paraId="19E7C644" w14:textId="77777777" w:rsidR="00AD412C" w:rsidRPr="00DB6BC5" w:rsidRDefault="00AD412C" w:rsidP="00DB6BC5">
      <w:pPr>
        <w:spacing w:after="0"/>
        <w:jc w:val="both"/>
        <w:rPr>
          <w:rFonts w:ascii="Times New Roman" w:eastAsia="Times New Roman" w:hAnsi="Times New Roman" w:cs="Times New Roman"/>
          <w:color w:val="000000"/>
          <w:sz w:val="24"/>
          <w:szCs w:val="24"/>
          <w:lang w:val="en-US" w:eastAsia="en-GB"/>
        </w:rPr>
      </w:pPr>
    </w:p>
    <w:p w14:paraId="6BADDD57" w14:textId="77777777" w:rsidR="00AD412C" w:rsidRPr="00DB6BC5" w:rsidRDefault="00AD412C" w:rsidP="00DB6BC5">
      <w:pPr>
        <w:spacing w:after="0"/>
        <w:jc w:val="both"/>
        <w:rPr>
          <w:rFonts w:ascii="Times New Roman" w:eastAsia="Times New Roman" w:hAnsi="Times New Roman" w:cs="Times New Roman"/>
          <w:color w:val="000000"/>
          <w:sz w:val="24"/>
          <w:szCs w:val="24"/>
          <w:lang w:val="en-US" w:eastAsia="en-GB"/>
        </w:rPr>
      </w:pPr>
    </w:p>
    <w:p w14:paraId="08114D1E" w14:textId="77777777" w:rsidR="00AD412C" w:rsidRPr="00DB6BC5" w:rsidRDefault="00AD412C" w:rsidP="00DB6BC5">
      <w:pPr>
        <w:spacing w:after="0"/>
        <w:jc w:val="both"/>
        <w:rPr>
          <w:rFonts w:ascii="Times New Roman" w:eastAsia="Times New Roman" w:hAnsi="Times New Roman" w:cs="Times New Roman"/>
          <w:color w:val="000000"/>
          <w:sz w:val="24"/>
          <w:szCs w:val="24"/>
          <w:lang w:val="en-US" w:eastAsia="en-GB"/>
        </w:rPr>
      </w:pPr>
    </w:p>
    <w:p w14:paraId="1AC82AC7" w14:textId="77777777" w:rsidR="00AD412C" w:rsidRDefault="00AD412C" w:rsidP="00DB6BC5">
      <w:pPr>
        <w:spacing w:after="0"/>
        <w:jc w:val="both"/>
        <w:rPr>
          <w:rFonts w:ascii="Times New Roman" w:eastAsia="Times New Roman" w:hAnsi="Times New Roman" w:cs="Times New Roman"/>
          <w:color w:val="000000"/>
          <w:sz w:val="24"/>
          <w:szCs w:val="24"/>
          <w:lang w:val="en-US" w:eastAsia="en-GB"/>
        </w:rPr>
      </w:pPr>
    </w:p>
    <w:p w14:paraId="238B6DDA"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3701FF64"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62AF65D5"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7DE299A8"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792DB6D7"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69CC5D33"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60205A8C"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543E91B6"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7F68DFAF"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755A4457"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22FCC2E8"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55CDF727"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598F67D6"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6D8F6052"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306F12FD"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30384EA6"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7B2E0EDE"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30FD4F50"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00D882DD" w14:textId="77777777" w:rsidR="00DB6BC5" w:rsidRPr="00DB6BC5" w:rsidRDefault="00DB6BC5" w:rsidP="00DB6BC5">
      <w:pPr>
        <w:spacing w:after="0"/>
        <w:jc w:val="both"/>
        <w:rPr>
          <w:rFonts w:ascii="Times New Roman" w:eastAsia="Times New Roman" w:hAnsi="Times New Roman" w:cs="Times New Roman"/>
          <w:color w:val="000000"/>
          <w:sz w:val="24"/>
          <w:szCs w:val="24"/>
          <w:lang w:val="en-US" w:eastAsia="en-GB"/>
        </w:rPr>
      </w:pPr>
    </w:p>
    <w:p w14:paraId="450E8B9D" w14:textId="77777777" w:rsidR="00275C28" w:rsidRPr="00DB6BC5" w:rsidRDefault="00275C28" w:rsidP="00DB6BC5">
      <w:pPr>
        <w:spacing w:after="0"/>
        <w:jc w:val="both"/>
        <w:rPr>
          <w:rFonts w:ascii="Times New Roman" w:eastAsia="Times New Roman" w:hAnsi="Times New Roman" w:cs="Times New Roman"/>
          <w:color w:val="000000"/>
          <w:sz w:val="24"/>
          <w:szCs w:val="24"/>
          <w:lang w:val="en-US" w:eastAsia="en-GB"/>
        </w:rPr>
      </w:pPr>
    </w:p>
    <w:p w14:paraId="5A0ED05D" w14:textId="117E3173" w:rsidR="00275C28" w:rsidRPr="00DB6BC5" w:rsidRDefault="00275C28" w:rsidP="00DB6BC5">
      <w:pPr>
        <w:spacing w:after="0"/>
        <w:jc w:val="both"/>
        <w:rPr>
          <w:rFonts w:ascii="Times New Roman" w:eastAsia="Times New Roman" w:hAnsi="Times New Roman" w:cs="Times New Roman"/>
          <w:b/>
          <w:color w:val="000000"/>
          <w:sz w:val="24"/>
          <w:szCs w:val="24"/>
          <w:lang w:val="en-US" w:eastAsia="en-GB"/>
        </w:rPr>
      </w:pPr>
      <w:r w:rsidRPr="00DB6BC5">
        <w:rPr>
          <w:rFonts w:ascii="Times New Roman" w:eastAsia="Times New Roman" w:hAnsi="Times New Roman" w:cs="Times New Roman"/>
          <w:b/>
          <w:color w:val="000000"/>
          <w:sz w:val="24"/>
          <w:szCs w:val="24"/>
          <w:lang w:val="en-US" w:eastAsia="en-GB"/>
        </w:rPr>
        <w:t xml:space="preserve">1.4 </w:t>
      </w:r>
      <w:r w:rsidR="00737867" w:rsidRPr="00DB6BC5">
        <w:rPr>
          <w:rFonts w:ascii="Times New Roman" w:eastAsia="Times New Roman" w:hAnsi="Times New Roman" w:cs="Times New Roman"/>
          <w:b/>
          <w:color w:val="000000"/>
          <w:sz w:val="24"/>
          <w:szCs w:val="24"/>
          <w:lang w:val="en-US" w:eastAsia="en-GB"/>
        </w:rPr>
        <w:t>JUDICIAL BODIES</w:t>
      </w:r>
    </w:p>
    <w:p w14:paraId="7F9981CB" w14:textId="77777777" w:rsidR="00B91C21" w:rsidRPr="00DB6BC5" w:rsidRDefault="00B91C21" w:rsidP="00DB6BC5">
      <w:pPr>
        <w:spacing w:after="0"/>
        <w:jc w:val="both"/>
        <w:rPr>
          <w:rFonts w:ascii="Times New Roman" w:eastAsia="Times New Roman" w:hAnsi="Times New Roman" w:cs="Times New Roman"/>
          <w:color w:val="000000"/>
          <w:sz w:val="24"/>
          <w:szCs w:val="24"/>
          <w:lang w:val="en-US" w:eastAsia="en-GB"/>
        </w:rPr>
      </w:pPr>
    </w:p>
    <w:p w14:paraId="3F154607" w14:textId="5B2221C0" w:rsidR="00B91C21" w:rsidRPr="00DB6BC5" w:rsidRDefault="00B91C21" w:rsidP="00DB6BC5">
      <w:pPr>
        <w:spacing w:after="0"/>
        <w:jc w:val="both"/>
        <w:rPr>
          <w:rFonts w:ascii="Times New Roman" w:eastAsia="Times New Roman" w:hAnsi="Times New Roman" w:cs="Times New Roman"/>
          <w:color w:val="000000"/>
          <w:sz w:val="24"/>
          <w:szCs w:val="24"/>
          <w:lang w:val="en-US" w:eastAsia="en-GB"/>
        </w:rPr>
      </w:pPr>
      <w:r w:rsidRPr="00DB6BC5">
        <w:rPr>
          <w:rFonts w:ascii="Times New Roman" w:eastAsia="Times New Roman" w:hAnsi="Times New Roman" w:cs="Times New Roman"/>
          <w:color w:val="000000"/>
          <w:sz w:val="24"/>
          <w:szCs w:val="24"/>
          <w:lang w:val="en-US" w:eastAsia="en-GB"/>
        </w:rPr>
        <w:t xml:space="preserve">1.4.1. </w:t>
      </w:r>
      <w:r w:rsidR="00737867" w:rsidRPr="00DB6BC5">
        <w:rPr>
          <w:rFonts w:ascii="Times New Roman" w:eastAsia="Times New Roman" w:hAnsi="Times New Roman" w:cs="Times New Roman"/>
          <w:color w:val="000000"/>
          <w:sz w:val="24"/>
          <w:szCs w:val="24"/>
          <w:lang w:val="en-US" w:eastAsia="en-GB"/>
        </w:rPr>
        <w:t>GENERAL CONCULSIONS</w:t>
      </w:r>
    </w:p>
    <w:p w14:paraId="2E2C48FF" w14:textId="77777777" w:rsidR="00B91C21" w:rsidRPr="00DB6BC5" w:rsidRDefault="00B91C21" w:rsidP="00DB6BC5">
      <w:pPr>
        <w:spacing w:after="0"/>
        <w:jc w:val="both"/>
        <w:rPr>
          <w:rFonts w:ascii="Times New Roman" w:eastAsia="Times New Roman" w:hAnsi="Times New Roman" w:cs="Times New Roman"/>
          <w:color w:val="000000"/>
          <w:sz w:val="24"/>
          <w:szCs w:val="24"/>
          <w:lang w:val="en-US" w:eastAsia="en-GB"/>
        </w:rPr>
      </w:pPr>
    </w:p>
    <w:p w14:paraId="6B387139" w14:textId="77777777" w:rsidR="00393FE1" w:rsidRPr="00DB6BC5" w:rsidRDefault="00393FE1" w:rsidP="00DB6BC5">
      <w:pPr>
        <w:jc w:val="both"/>
        <w:rPr>
          <w:rFonts w:ascii="Times New Roman" w:hAnsi="Times New Roman" w:cs="Times New Roman"/>
          <w:sz w:val="24"/>
          <w:szCs w:val="24"/>
          <w:lang w:val="en-US"/>
        </w:rPr>
      </w:pPr>
      <w:r w:rsidRPr="00DB6BC5">
        <w:rPr>
          <w:rFonts w:ascii="Times New Roman" w:hAnsi="Times New Roman" w:cs="Times New Roman"/>
          <w:sz w:val="24"/>
          <w:szCs w:val="24"/>
          <w:lang w:val="en-US"/>
        </w:rPr>
        <w:t>The Strategy for the Reform of the Judiciary 2014-2018 recognizes the need to strengthen citizens' trust in the judiciary through access to information held by judicial institutions, but our research has confirmed that there is still a significant space for enhancing the openness of judicial institutions.</w:t>
      </w:r>
      <w:r w:rsidRPr="00DB6BC5">
        <w:rPr>
          <w:rStyle w:val="FootnoteReference"/>
          <w:rFonts w:ascii="Times New Roman" w:hAnsi="Times New Roman" w:cs="Times New Roman"/>
          <w:sz w:val="24"/>
          <w:szCs w:val="24"/>
          <w:lang w:val="en-US"/>
        </w:rPr>
        <w:footnoteReference w:id="5"/>
      </w:r>
    </w:p>
    <w:p w14:paraId="69ED31C2" w14:textId="77777777" w:rsidR="00393FE1" w:rsidRPr="00DB6BC5" w:rsidRDefault="00393FE1" w:rsidP="00DB6BC5">
      <w:pPr>
        <w:jc w:val="both"/>
        <w:rPr>
          <w:rFonts w:ascii="Times New Roman" w:hAnsi="Times New Roman" w:cs="Times New Roman"/>
          <w:sz w:val="24"/>
          <w:szCs w:val="24"/>
          <w:lang w:val="en-US"/>
        </w:rPr>
      </w:pPr>
      <w:r w:rsidRPr="00DB6BC5">
        <w:rPr>
          <w:rFonts w:ascii="Times New Roman" w:hAnsi="Times New Roman" w:cs="Times New Roman"/>
          <w:sz w:val="24"/>
          <w:szCs w:val="24"/>
          <w:lang w:val="en-US"/>
        </w:rPr>
        <w:t>The courts in Montenegro meet on average 56.5%, while prosecutor’s offices meet 65% of the openness indicators.</w:t>
      </w:r>
      <w:r w:rsidRPr="00DB6BC5">
        <w:rPr>
          <w:rStyle w:val="FootnoteReference"/>
          <w:rFonts w:ascii="Times New Roman" w:hAnsi="Times New Roman" w:cs="Times New Roman"/>
          <w:sz w:val="24"/>
          <w:szCs w:val="24"/>
          <w:lang w:val="en-US"/>
        </w:rPr>
        <w:footnoteReference w:id="6"/>
      </w:r>
      <w:r w:rsidRPr="00DB6BC5">
        <w:rPr>
          <w:rFonts w:ascii="Times New Roman" w:hAnsi="Times New Roman" w:cs="Times New Roman"/>
          <w:sz w:val="24"/>
          <w:szCs w:val="24"/>
          <w:lang w:val="en-US"/>
        </w:rPr>
        <w:t xml:space="preserve"> These are the best results in the region, evidencing the low level of openness of the courts and prosecutor’s offices in the region.</w:t>
      </w:r>
    </w:p>
    <w:p w14:paraId="03A12847" w14:textId="432C81FB" w:rsidR="00B91C21" w:rsidRDefault="003E1392" w:rsidP="00DB6BC5">
      <w:pPr>
        <w:spacing w:after="0"/>
        <w:jc w:val="both"/>
        <w:rPr>
          <w:rFonts w:ascii="Times New Roman" w:eastAsia="Times New Roman" w:hAnsi="Times New Roman" w:cs="Times New Roman"/>
          <w:color w:val="000000"/>
          <w:sz w:val="24"/>
          <w:szCs w:val="24"/>
          <w:lang w:val="sr-Latn-ME" w:eastAsia="en-GB"/>
        </w:rPr>
      </w:pPr>
      <w:r w:rsidRPr="00DB6BC5">
        <w:rPr>
          <w:rFonts w:ascii="Times New Roman" w:eastAsia="Times New Roman" w:hAnsi="Times New Roman" w:cs="Times New Roman"/>
          <w:color w:val="000000"/>
          <w:sz w:val="24"/>
          <w:szCs w:val="24"/>
          <w:lang w:val="sr-Latn-ME" w:eastAsia="en-GB"/>
        </w:rPr>
        <w:t xml:space="preserve">1.4.2. </w:t>
      </w:r>
      <w:r w:rsidR="00393FE1" w:rsidRPr="00DB6BC5">
        <w:rPr>
          <w:rFonts w:ascii="Times New Roman" w:eastAsia="Times New Roman" w:hAnsi="Times New Roman" w:cs="Times New Roman"/>
          <w:color w:val="000000"/>
          <w:sz w:val="24"/>
          <w:szCs w:val="24"/>
          <w:lang w:val="sr-Latn-ME" w:eastAsia="en-GB"/>
        </w:rPr>
        <w:t>ACTION STEPS</w:t>
      </w:r>
    </w:p>
    <w:p w14:paraId="0D2100C0" w14:textId="77777777" w:rsidR="00DB6BC5" w:rsidRPr="00DB6BC5" w:rsidRDefault="00DB6BC5" w:rsidP="00DB6BC5">
      <w:pPr>
        <w:spacing w:after="0"/>
        <w:jc w:val="both"/>
        <w:rPr>
          <w:rFonts w:ascii="Times New Roman" w:eastAsia="Times New Roman" w:hAnsi="Times New Roman" w:cs="Times New Roman"/>
          <w:color w:val="000000"/>
          <w:sz w:val="24"/>
          <w:szCs w:val="24"/>
          <w:lang w:val="sr-Latn-ME" w:eastAsia="en-GB"/>
        </w:rPr>
      </w:pPr>
    </w:p>
    <w:p w14:paraId="5191A37B" w14:textId="4D83FD8E" w:rsidR="00393FE1" w:rsidRPr="00DB6BC5" w:rsidRDefault="00393FE1" w:rsidP="00DB6BC5">
      <w:pPr>
        <w:jc w:val="both"/>
        <w:rPr>
          <w:rFonts w:ascii="Times New Roman" w:hAnsi="Times New Roman" w:cs="Times New Roman"/>
          <w:sz w:val="24"/>
          <w:szCs w:val="24"/>
          <w:lang w:val="en-US"/>
        </w:rPr>
      </w:pPr>
      <w:r w:rsidRPr="00DB6BC5">
        <w:rPr>
          <w:rFonts w:ascii="Times New Roman" w:hAnsi="Times New Roman" w:cs="Times New Roman"/>
          <w:sz w:val="24"/>
          <w:szCs w:val="24"/>
          <w:lang w:val="en-US"/>
        </w:rPr>
        <w:t>Below we present key findings and recommendations for improvement</w:t>
      </w:r>
      <w:r w:rsidR="00DB6BC5">
        <w:rPr>
          <w:rFonts w:ascii="Times New Roman" w:hAnsi="Times New Roman" w:cs="Times New Roman"/>
          <w:sz w:val="24"/>
          <w:szCs w:val="24"/>
          <w:lang w:val="en-US"/>
        </w:rPr>
        <w:t xml:space="preserve"> of openness:</w:t>
      </w:r>
    </w:p>
    <w:p w14:paraId="37205D3D" w14:textId="1427BB15" w:rsidR="00B91C21" w:rsidRPr="00DB6BC5" w:rsidRDefault="00393FE1" w:rsidP="00DB6BC5">
      <w:pPr>
        <w:spacing w:after="0"/>
        <w:jc w:val="both"/>
        <w:rPr>
          <w:rFonts w:ascii="Times New Roman" w:eastAsia="Times New Roman" w:hAnsi="Times New Roman" w:cs="Times New Roman"/>
          <w:b/>
          <w:bCs/>
          <w:color w:val="000000"/>
          <w:sz w:val="24"/>
          <w:szCs w:val="24"/>
          <w:lang w:val="en-GB" w:eastAsia="en-GB"/>
        </w:rPr>
      </w:pPr>
      <w:r w:rsidRPr="00DB6BC5">
        <w:rPr>
          <w:rFonts w:ascii="Times New Roman" w:eastAsia="Times New Roman" w:hAnsi="Times New Roman" w:cs="Times New Roman"/>
          <w:b/>
          <w:bCs/>
          <w:color w:val="000000"/>
          <w:sz w:val="24"/>
          <w:szCs w:val="24"/>
          <w:lang w:val="en-GB" w:eastAsia="en-GB"/>
        </w:rPr>
        <w:t>Courts</w:t>
      </w:r>
    </w:p>
    <w:p w14:paraId="7907116F" w14:textId="6B694019" w:rsidR="00393FE1" w:rsidRPr="00DB6BC5" w:rsidRDefault="00393FE1" w:rsidP="00DB6BC5">
      <w:pPr>
        <w:pStyle w:val="ListParagraph"/>
        <w:numPr>
          <w:ilvl w:val="0"/>
          <w:numId w:val="19"/>
        </w:numPr>
        <w:jc w:val="both"/>
        <w:rPr>
          <w:rFonts w:ascii="Times New Roman" w:hAnsi="Times New Roman" w:cs="Times New Roman"/>
          <w:bCs/>
          <w:sz w:val="24"/>
          <w:szCs w:val="24"/>
          <w:lang w:val="en-US"/>
        </w:rPr>
      </w:pPr>
      <w:r w:rsidRPr="00DB6BC5">
        <w:rPr>
          <w:rFonts w:ascii="Times New Roman" w:hAnsi="Times New Roman" w:cs="Times New Roman"/>
          <w:bCs/>
          <w:sz w:val="24"/>
          <w:szCs w:val="24"/>
          <w:lang w:val="en-US"/>
        </w:rPr>
        <w:t>Improve availability of information on the work of courts</w:t>
      </w:r>
    </w:p>
    <w:p w14:paraId="3143008E" w14:textId="189B5376" w:rsidR="00393FE1" w:rsidRPr="00DB6BC5" w:rsidRDefault="00393FE1" w:rsidP="00DB6BC5">
      <w:pPr>
        <w:pStyle w:val="ListParagraph"/>
        <w:numPr>
          <w:ilvl w:val="0"/>
          <w:numId w:val="13"/>
        </w:num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sz w:val="24"/>
          <w:szCs w:val="24"/>
          <w:lang w:val="en-US"/>
        </w:rPr>
        <w:t>Regularly update websites with news, press releases or current events;</w:t>
      </w:r>
    </w:p>
    <w:p w14:paraId="75AC0E2E" w14:textId="41FC5157" w:rsidR="00393FE1" w:rsidRPr="00DB6BC5" w:rsidRDefault="00393FE1" w:rsidP="00DB6BC5">
      <w:pPr>
        <w:pStyle w:val="ListParagraph"/>
        <w:numPr>
          <w:ilvl w:val="0"/>
          <w:numId w:val="13"/>
        </w:numPr>
        <w:spacing w:after="0"/>
        <w:jc w:val="both"/>
        <w:rPr>
          <w:rFonts w:ascii="Times New Roman" w:eastAsia="Times New Roman" w:hAnsi="Times New Roman" w:cs="Times New Roman"/>
          <w:color w:val="000000"/>
          <w:sz w:val="24"/>
          <w:szCs w:val="24"/>
          <w:lang w:val="en-GB" w:eastAsia="en-GB"/>
        </w:rPr>
      </w:pPr>
      <w:r w:rsidRPr="00DB6BC5">
        <w:rPr>
          <w:rFonts w:ascii="Times New Roman" w:eastAsia="Times New Roman" w:hAnsi="Times New Roman" w:cs="Times New Roman"/>
          <w:color w:val="000000"/>
          <w:sz w:val="24"/>
          <w:szCs w:val="24"/>
          <w:lang w:val="en-GB" w:eastAsia="en-GB"/>
        </w:rPr>
        <w:lastRenderedPageBreak/>
        <w:t>Publish contact information of judges and information on their earnings on the court websites;</w:t>
      </w:r>
    </w:p>
    <w:p w14:paraId="468E80D7" w14:textId="4B26D4D9" w:rsidR="00C920F4" w:rsidRPr="00DB6BC5" w:rsidRDefault="00393FE1" w:rsidP="00DB6BC5">
      <w:pPr>
        <w:pStyle w:val="ListParagraph"/>
        <w:numPr>
          <w:ilvl w:val="0"/>
          <w:numId w:val="13"/>
        </w:numPr>
        <w:spacing w:after="0"/>
        <w:jc w:val="both"/>
        <w:rPr>
          <w:rFonts w:ascii="Times New Roman" w:eastAsia="Times New Roman" w:hAnsi="Times New Roman" w:cs="Times New Roman"/>
          <w:color w:val="000000"/>
          <w:sz w:val="24"/>
          <w:szCs w:val="24"/>
          <w:lang w:val="en-GB" w:eastAsia="en-GB"/>
        </w:rPr>
      </w:pPr>
      <w:r w:rsidRPr="00DB6BC5">
        <w:rPr>
          <w:rFonts w:ascii="Times New Roman" w:eastAsia="Times New Roman" w:hAnsi="Times New Roman" w:cs="Times New Roman"/>
          <w:color w:val="000000"/>
          <w:sz w:val="24"/>
          <w:szCs w:val="24"/>
          <w:lang w:val="en-GB" w:eastAsia="en-GB"/>
        </w:rPr>
        <w:t>Regularly publish work programmes and plans, and work reports;</w:t>
      </w:r>
    </w:p>
    <w:p w14:paraId="303606F1" w14:textId="560A4982" w:rsidR="00C920F4" w:rsidRPr="00DB6BC5" w:rsidRDefault="00393FE1" w:rsidP="00DB6BC5">
      <w:pPr>
        <w:pStyle w:val="ListParagraph"/>
        <w:numPr>
          <w:ilvl w:val="0"/>
          <w:numId w:val="13"/>
        </w:num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sz w:val="24"/>
          <w:szCs w:val="24"/>
          <w:lang w:val="en-US"/>
        </w:rPr>
        <w:t xml:space="preserve">Improve the quality of annual work reports, present information on work problems and their causes, with conclusions and recommendations for their resolution; </w:t>
      </w:r>
    </w:p>
    <w:p w14:paraId="5D7AAC1D" w14:textId="77777777" w:rsidR="00393FE1" w:rsidRPr="00DB6BC5" w:rsidRDefault="00393FE1" w:rsidP="00DB6BC5">
      <w:pPr>
        <w:pStyle w:val="ListParagraph"/>
        <w:numPr>
          <w:ilvl w:val="0"/>
          <w:numId w:val="19"/>
        </w:numPr>
        <w:jc w:val="both"/>
        <w:rPr>
          <w:rFonts w:ascii="Times New Roman" w:hAnsi="Times New Roman" w:cs="Times New Roman"/>
          <w:bCs/>
          <w:sz w:val="24"/>
          <w:szCs w:val="24"/>
          <w:lang w:val="en-US"/>
        </w:rPr>
      </w:pPr>
      <w:r w:rsidRPr="00DB6BC5">
        <w:rPr>
          <w:rFonts w:ascii="Times New Roman" w:hAnsi="Times New Roman" w:cs="Times New Roman"/>
          <w:bCs/>
          <w:sz w:val="24"/>
          <w:szCs w:val="24"/>
          <w:lang w:val="en-US"/>
        </w:rPr>
        <w:t>Improve publicity of the trial</w:t>
      </w:r>
    </w:p>
    <w:p w14:paraId="0947124E" w14:textId="788C2C9B" w:rsidR="00393FE1" w:rsidRPr="00DB6BC5" w:rsidRDefault="00393FE1" w:rsidP="00DB6BC5">
      <w:pPr>
        <w:pStyle w:val="ListParagraph"/>
        <w:numPr>
          <w:ilvl w:val="0"/>
          <w:numId w:val="20"/>
        </w:numPr>
        <w:jc w:val="both"/>
        <w:rPr>
          <w:rFonts w:ascii="Times New Roman" w:hAnsi="Times New Roman" w:cs="Times New Roman"/>
          <w:bCs/>
          <w:sz w:val="24"/>
          <w:szCs w:val="24"/>
          <w:lang w:val="en-US"/>
        </w:rPr>
      </w:pPr>
      <w:r w:rsidRPr="00DB6BC5">
        <w:rPr>
          <w:rFonts w:ascii="Times New Roman" w:hAnsi="Times New Roman" w:cs="Times New Roman"/>
          <w:sz w:val="24"/>
          <w:szCs w:val="24"/>
          <w:lang w:val="en"/>
        </w:rPr>
        <w:t xml:space="preserve">Improve the spatial capacities of courtrooms and accessibility of courts </w:t>
      </w:r>
      <w:r w:rsidRPr="00DB6BC5">
        <w:rPr>
          <w:rFonts w:ascii="Times New Roman" w:hAnsi="Times New Roman" w:cs="Times New Roman"/>
          <w:sz w:val="24"/>
          <w:szCs w:val="24"/>
          <w:lang w:val="en-US"/>
        </w:rPr>
        <w:t>to wheelchair users;</w:t>
      </w:r>
    </w:p>
    <w:p w14:paraId="78D72E83" w14:textId="77777777" w:rsidR="00393FE1" w:rsidRPr="00DB6BC5" w:rsidRDefault="00393FE1" w:rsidP="00DB6BC5">
      <w:pPr>
        <w:pStyle w:val="ListParagraph"/>
        <w:numPr>
          <w:ilvl w:val="0"/>
          <w:numId w:val="14"/>
        </w:numPr>
        <w:spacing w:after="0"/>
        <w:jc w:val="both"/>
        <w:rPr>
          <w:rFonts w:ascii="Times New Roman" w:eastAsia="Times New Roman" w:hAnsi="Times New Roman" w:cs="Times New Roman"/>
          <w:color w:val="000000"/>
          <w:sz w:val="24"/>
          <w:szCs w:val="24"/>
          <w:lang w:val="en-GB" w:eastAsia="en-GB"/>
        </w:rPr>
      </w:pPr>
      <w:r w:rsidRPr="00DB6BC5">
        <w:rPr>
          <w:rFonts w:ascii="Times New Roman" w:eastAsia="Times New Roman" w:hAnsi="Times New Roman" w:cs="Times New Roman"/>
          <w:color w:val="000000"/>
          <w:sz w:val="24"/>
          <w:szCs w:val="24"/>
          <w:lang w:val="en-GB" w:eastAsia="en-GB"/>
        </w:rPr>
        <w:t>Publish court records;</w:t>
      </w:r>
    </w:p>
    <w:p w14:paraId="5EF182B1" w14:textId="77777777" w:rsidR="00393FE1" w:rsidRPr="00DB6BC5" w:rsidRDefault="00393FE1" w:rsidP="00DB6BC5">
      <w:pPr>
        <w:pStyle w:val="ListParagraph"/>
        <w:numPr>
          <w:ilvl w:val="0"/>
          <w:numId w:val="14"/>
        </w:num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sz w:val="24"/>
          <w:szCs w:val="24"/>
          <w:lang w:val="en"/>
        </w:rPr>
        <w:t>Publish separate opinions of council members;</w:t>
      </w:r>
    </w:p>
    <w:p w14:paraId="2808BD9E" w14:textId="3B878377" w:rsidR="00393FE1" w:rsidRPr="00DB6BC5" w:rsidRDefault="00393FE1" w:rsidP="00DB6BC5">
      <w:pPr>
        <w:pStyle w:val="ListParagraph"/>
        <w:numPr>
          <w:ilvl w:val="0"/>
          <w:numId w:val="19"/>
        </w:num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sz w:val="24"/>
          <w:szCs w:val="24"/>
          <w:lang w:val="en"/>
        </w:rPr>
        <w:t xml:space="preserve">Improve capacities for the implementation of the Law on Free Access to Information. Publish the updated </w:t>
      </w:r>
      <w:r w:rsidR="00DB6BC5" w:rsidRPr="00DB6BC5">
        <w:rPr>
          <w:rFonts w:ascii="Times New Roman" w:hAnsi="Times New Roman" w:cs="Times New Roman"/>
          <w:sz w:val="24"/>
          <w:szCs w:val="24"/>
          <w:lang w:val="en"/>
        </w:rPr>
        <w:t>Guidelines</w:t>
      </w:r>
      <w:r w:rsidRPr="00DB6BC5">
        <w:rPr>
          <w:rFonts w:ascii="Times New Roman" w:hAnsi="Times New Roman" w:cs="Times New Roman"/>
          <w:sz w:val="24"/>
          <w:szCs w:val="24"/>
          <w:lang w:val="en"/>
        </w:rPr>
        <w:t xml:space="preserve"> for free access to information and a database with information that is granted access upon request;</w:t>
      </w:r>
    </w:p>
    <w:p w14:paraId="2B13A171" w14:textId="2469BF29" w:rsidR="00393FE1" w:rsidRPr="00DB6BC5" w:rsidRDefault="00393FE1" w:rsidP="00DB6BC5">
      <w:pPr>
        <w:pStyle w:val="ListParagraph"/>
        <w:numPr>
          <w:ilvl w:val="0"/>
          <w:numId w:val="10"/>
        </w:num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sz w:val="24"/>
          <w:szCs w:val="24"/>
          <w:lang w:val="en-US"/>
        </w:rPr>
        <w:t>Improve the mechanisms for communicating with the public;</w:t>
      </w:r>
    </w:p>
    <w:p w14:paraId="3085066D" w14:textId="6028B953" w:rsidR="00393FE1" w:rsidRPr="00DB6BC5" w:rsidRDefault="00393FE1" w:rsidP="00DB6BC5">
      <w:pPr>
        <w:pStyle w:val="ListParagraph"/>
        <w:numPr>
          <w:ilvl w:val="0"/>
          <w:numId w:val="10"/>
        </w:numPr>
        <w:jc w:val="both"/>
        <w:rPr>
          <w:rFonts w:ascii="Times New Roman" w:hAnsi="Times New Roman" w:cs="Times New Roman"/>
          <w:bCs/>
          <w:sz w:val="24"/>
          <w:szCs w:val="24"/>
          <w:lang w:val="en-US"/>
        </w:rPr>
      </w:pPr>
      <w:r w:rsidRPr="00DB6BC5">
        <w:rPr>
          <w:rFonts w:ascii="Times New Roman" w:hAnsi="Times New Roman" w:cs="Times New Roman"/>
          <w:bCs/>
          <w:sz w:val="24"/>
          <w:szCs w:val="24"/>
          <w:lang w:val="en-US"/>
        </w:rPr>
        <w:t>Promote Codes of Ethics for judges;</w:t>
      </w:r>
    </w:p>
    <w:p w14:paraId="034E2C58" w14:textId="07009C58" w:rsidR="00393FE1" w:rsidRPr="00DB6BC5" w:rsidRDefault="00393FE1" w:rsidP="00DB6BC5">
      <w:pPr>
        <w:pStyle w:val="ListParagraph"/>
        <w:numPr>
          <w:ilvl w:val="0"/>
          <w:numId w:val="10"/>
        </w:numPr>
        <w:jc w:val="both"/>
        <w:rPr>
          <w:rFonts w:ascii="Times New Roman" w:hAnsi="Times New Roman" w:cs="Times New Roman"/>
          <w:sz w:val="24"/>
          <w:szCs w:val="24"/>
          <w:lang w:val="en-US"/>
        </w:rPr>
      </w:pPr>
      <w:r w:rsidRPr="00DB6BC5">
        <w:rPr>
          <w:rFonts w:ascii="Times New Roman" w:hAnsi="Times New Roman" w:cs="Times New Roman"/>
          <w:sz w:val="24"/>
          <w:szCs w:val="24"/>
          <w:lang w:val="en-US"/>
        </w:rPr>
        <w:t>Create and publish information about mechanisms (such as leaflets, publications, telephone lines...) intended to inform vulnerable groups about their rights and adequate legal remedies.</w:t>
      </w:r>
    </w:p>
    <w:p w14:paraId="2FF57287" w14:textId="78F44FBA" w:rsidR="005418BA" w:rsidRPr="00DB6BC5" w:rsidRDefault="00393FE1" w:rsidP="00DB6BC5">
      <w:pPr>
        <w:spacing w:after="0"/>
        <w:jc w:val="both"/>
        <w:rPr>
          <w:rFonts w:ascii="Times New Roman" w:eastAsia="Times New Roman" w:hAnsi="Times New Roman" w:cs="Times New Roman"/>
          <w:b/>
          <w:bCs/>
          <w:color w:val="000000"/>
          <w:sz w:val="24"/>
          <w:szCs w:val="24"/>
          <w:lang w:val="sr-Latn-ME" w:eastAsia="en-GB"/>
        </w:rPr>
      </w:pPr>
      <w:r w:rsidRPr="00DB6BC5">
        <w:rPr>
          <w:rFonts w:ascii="Times New Roman" w:eastAsia="Times New Roman" w:hAnsi="Times New Roman" w:cs="Times New Roman"/>
          <w:b/>
          <w:bCs/>
          <w:color w:val="000000"/>
          <w:sz w:val="24"/>
          <w:szCs w:val="24"/>
          <w:lang w:val="en-GB" w:eastAsia="en-GB"/>
        </w:rPr>
        <w:t>Prosecution offices</w:t>
      </w:r>
    </w:p>
    <w:p w14:paraId="5ACCF81E" w14:textId="4117CC26" w:rsidR="00393FE1" w:rsidRPr="00DB6BC5" w:rsidRDefault="00393FE1" w:rsidP="00DB6BC5">
      <w:pPr>
        <w:pStyle w:val="ListParagraph"/>
        <w:numPr>
          <w:ilvl w:val="0"/>
          <w:numId w:val="21"/>
        </w:numPr>
        <w:jc w:val="both"/>
        <w:rPr>
          <w:rFonts w:ascii="Times New Roman" w:hAnsi="Times New Roman" w:cs="Times New Roman"/>
          <w:sz w:val="24"/>
          <w:szCs w:val="24"/>
          <w:lang w:val="en-US"/>
        </w:rPr>
      </w:pPr>
      <w:r w:rsidRPr="00DB6BC5">
        <w:rPr>
          <w:rFonts w:ascii="Times New Roman" w:eastAsia="Times New Roman" w:hAnsi="Times New Roman" w:cs="Times New Roman"/>
          <w:color w:val="000000"/>
          <w:sz w:val="24"/>
          <w:szCs w:val="24"/>
          <w:lang w:val="sr-Latn-ME" w:eastAsia="en-GB"/>
        </w:rPr>
        <w:t xml:space="preserve">Improve official website of prosecution officies, </w:t>
      </w:r>
      <w:r w:rsidRPr="00DB6BC5">
        <w:rPr>
          <w:rFonts w:ascii="Times New Roman" w:hAnsi="Times New Roman" w:cs="Times New Roman"/>
          <w:sz w:val="24"/>
          <w:szCs w:val="24"/>
          <w:lang w:val="en-US"/>
        </w:rPr>
        <w:t>according to the number of institutions and the amount of information. Provide with functional search engine on the website.</w:t>
      </w:r>
    </w:p>
    <w:p w14:paraId="1252BF92" w14:textId="21A8D1A4" w:rsidR="00393FE1" w:rsidRPr="00DB6BC5" w:rsidRDefault="00393FE1" w:rsidP="00DB6BC5">
      <w:pPr>
        <w:pStyle w:val="ListParagraph"/>
        <w:numPr>
          <w:ilvl w:val="0"/>
          <w:numId w:val="21"/>
        </w:numPr>
        <w:jc w:val="both"/>
        <w:rPr>
          <w:rFonts w:ascii="Times New Roman" w:hAnsi="Times New Roman" w:cs="Times New Roman"/>
          <w:sz w:val="24"/>
          <w:szCs w:val="24"/>
          <w:lang w:val="en-US"/>
        </w:rPr>
      </w:pPr>
      <w:r w:rsidRPr="00DB6BC5">
        <w:rPr>
          <w:rFonts w:ascii="Times New Roman" w:hAnsi="Times New Roman" w:cs="Times New Roman"/>
          <w:sz w:val="24"/>
          <w:szCs w:val="24"/>
          <w:lang w:val="en-US"/>
        </w:rPr>
        <w:t>Publish the news, press releases and current events on the websites;</w:t>
      </w:r>
    </w:p>
    <w:p w14:paraId="70DDBD57" w14:textId="77777777" w:rsidR="00393FE1" w:rsidRPr="00DB6BC5" w:rsidRDefault="00393FE1" w:rsidP="00DB6BC5">
      <w:pPr>
        <w:numPr>
          <w:ilvl w:val="0"/>
          <w:numId w:val="3"/>
        </w:numPr>
        <w:spacing w:after="0"/>
        <w:jc w:val="both"/>
        <w:rPr>
          <w:rFonts w:ascii="Times New Roman" w:eastAsia="Times New Roman" w:hAnsi="Times New Roman" w:cs="Times New Roman"/>
          <w:color w:val="000000"/>
          <w:sz w:val="24"/>
          <w:szCs w:val="24"/>
          <w:lang w:val="sr-Latn-ME" w:eastAsia="en-GB"/>
        </w:rPr>
      </w:pPr>
      <w:r w:rsidRPr="00DB6BC5">
        <w:rPr>
          <w:rFonts w:ascii="Times New Roman" w:hAnsi="Times New Roman" w:cs="Times New Roman"/>
          <w:sz w:val="24"/>
          <w:szCs w:val="24"/>
          <w:lang w:val="en"/>
        </w:rPr>
        <w:t>Make available work programs and plans, and work reports for many years back, not just actual or those for the previous year;</w:t>
      </w:r>
    </w:p>
    <w:p w14:paraId="38771095" w14:textId="77777777" w:rsidR="00393FE1" w:rsidRPr="00DB6BC5" w:rsidRDefault="00393FE1" w:rsidP="00DB6BC5">
      <w:pPr>
        <w:numPr>
          <w:ilvl w:val="0"/>
          <w:numId w:val="3"/>
        </w:numPr>
        <w:spacing w:after="0"/>
        <w:jc w:val="both"/>
        <w:rPr>
          <w:rFonts w:ascii="Times New Roman" w:eastAsia="Times New Roman" w:hAnsi="Times New Roman" w:cs="Times New Roman"/>
          <w:color w:val="000000"/>
          <w:sz w:val="24"/>
          <w:szCs w:val="24"/>
          <w:lang w:val="sr-Latn-ME" w:eastAsia="en-GB"/>
        </w:rPr>
      </w:pPr>
      <w:r w:rsidRPr="00DB6BC5">
        <w:rPr>
          <w:rFonts w:ascii="Times New Roman" w:hAnsi="Times New Roman" w:cs="Times New Roman"/>
          <w:sz w:val="24"/>
          <w:szCs w:val="24"/>
          <w:lang w:val="en"/>
        </w:rPr>
        <w:t>Improve the quality of work reports with work-related analysis and recommendations for improvement;</w:t>
      </w:r>
    </w:p>
    <w:p w14:paraId="09C0B27D" w14:textId="77777777" w:rsidR="00393FE1" w:rsidRPr="00DB6BC5" w:rsidRDefault="00393FE1" w:rsidP="00DB6BC5">
      <w:pPr>
        <w:numPr>
          <w:ilvl w:val="0"/>
          <w:numId w:val="3"/>
        </w:numPr>
        <w:spacing w:after="0"/>
        <w:jc w:val="both"/>
        <w:rPr>
          <w:rFonts w:ascii="Times New Roman" w:eastAsia="Times New Roman" w:hAnsi="Times New Roman" w:cs="Times New Roman"/>
          <w:color w:val="000000"/>
          <w:sz w:val="24"/>
          <w:szCs w:val="24"/>
          <w:lang w:val="sr-Latn-ME" w:eastAsia="en-GB"/>
        </w:rPr>
      </w:pPr>
      <w:r w:rsidRPr="00DB6BC5">
        <w:rPr>
          <w:rFonts w:ascii="Times New Roman" w:hAnsi="Times New Roman" w:cs="Times New Roman"/>
          <w:sz w:val="24"/>
          <w:szCs w:val="24"/>
          <w:lang w:val="en"/>
        </w:rPr>
        <w:t>Publish contact information of prosecutors and employees, as well as biographies of prosecutors;</w:t>
      </w:r>
    </w:p>
    <w:p w14:paraId="28C3AEDB" w14:textId="3EF0B115" w:rsidR="00393FE1" w:rsidRPr="00DB6BC5" w:rsidRDefault="00393FE1" w:rsidP="00DB6BC5">
      <w:pPr>
        <w:pStyle w:val="ListParagraph"/>
        <w:numPr>
          <w:ilvl w:val="0"/>
          <w:numId w:val="3"/>
        </w:numPr>
        <w:spacing w:after="0"/>
        <w:jc w:val="both"/>
        <w:rPr>
          <w:rFonts w:ascii="Times New Roman" w:eastAsia="Times New Roman" w:hAnsi="Times New Roman" w:cs="Times New Roman"/>
          <w:color w:val="000000"/>
          <w:sz w:val="24"/>
          <w:szCs w:val="24"/>
          <w:lang w:val="en-GB" w:eastAsia="en-GB"/>
        </w:rPr>
      </w:pPr>
      <w:r w:rsidRPr="00DB6BC5">
        <w:rPr>
          <w:rFonts w:ascii="Times New Roman" w:hAnsi="Times New Roman" w:cs="Times New Roman"/>
          <w:sz w:val="24"/>
          <w:szCs w:val="24"/>
          <w:lang w:val="en"/>
        </w:rPr>
        <w:t>Publish a database with information that is granted access upon request.</w:t>
      </w:r>
    </w:p>
    <w:p w14:paraId="29171CB4" w14:textId="77777777" w:rsidR="00B91C21" w:rsidRPr="00DB6BC5" w:rsidRDefault="00B91C21" w:rsidP="00DB6BC5">
      <w:pPr>
        <w:spacing w:after="0"/>
        <w:jc w:val="both"/>
        <w:rPr>
          <w:rFonts w:ascii="Times New Roman" w:eastAsia="Times New Roman" w:hAnsi="Times New Roman" w:cs="Times New Roman"/>
          <w:color w:val="000000"/>
          <w:sz w:val="24"/>
          <w:szCs w:val="24"/>
          <w:lang w:val="sr-Latn-ME" w:eastAsia="en-GB"/>
        </w:rPr>
      </w:pPr>
    </w:p>
    <w:p w14:paraId="79684C2E" w14:textId="520408D3" w:rsidR="00393FE1" w:rsidRPr="00DB6BC5" w:rsidRDefault="00DB6BC5" w:rsidP="00DB6BC5">
      <w:pPr>
        <w:jc w:val="both"/>
        <w:rPr>
          <w:rFonts w:ascii="Times New Roman" w:hAnsi="Times New Roman" w:cs="Times New Roman"/>
          <w:b/>
          <w:sz w:val="24"/>
          <w:szCs w:val="24"/>
          <w:lang w:val="en-US"/>
        </w:rPr>
      </w:pPr>
      <w:r>
        <w:rPr>
          <w:rFonts w:ascii="Times New Roman" w:hAnsi="Times New Roman" w:cs="Times New Roman"/>
          <w:b/>
          <w:sz w:val="24"/>
          <w:szCs w:val="24"/>
          <w:lang w:val="en-US"/>
        </w:rPr>
        <w:t>Judicial and P</w:t>
      </w:r>
      <w:r w:rsidRPr="00DB6BC5">
        <w:rPr>
          <w:rFonts w:ascii="Times New Roman" w:hAnsi="Times New Roman" w:cs="Times New Roman"/>
          <w:b/>
          <w:sz w:val="24"/>
          <w:szCs w:val="24"/>
          <w:lang w:val="en-US"/>
        </w:rPr>
        <w:t>rosecutorial council</w:t>
      </w:r>
    </w:p>
    <w:p w14:paraId="7A162E03" w14:textId="570ADC27" w:rsidR="00104969" w:rsidRPr="00DB6BC5" w:rsidRDefault="00104969" w:rsidP="00DB6BC5">
      <w:pPr>
        <w:pStyle w:val="ListParagraph"/>
        <w:numPr>
          <w:ilvl w:val="0"/>
          <w:numId w:val="15"/>
        </w:numPr>
        <w:jc w:val="both"/>
        <w:rPr>
          <w:rFonts w:ascii="Times New Roman" w:hAnsi="Times New Roman" w:cs="Times New Roman"/>
          <w:sz w:val="24"/>
          <w:szCs w:val="24"/>
          <w:lang w:val="en-US"/>
        </w:rPr>
      </w:pPr>
      <w:r w:rsidRPr="00DB6BC5">
        <w:rPr>
          <w:rFonts w:ascii="Times New Roman" w:hAnsi="Times New Roman" w:cs="Times New Roman"/>
          <w:sz w:val="24"/>
          <w:szCs w:val="24"/>
          <w:lang w:val="en-US"/>
        </w:rPr>
        <w:t>The Judicial and Prosecutorial Council should strategically plan annual activities within a specific work program and plan</w:t>
      </w:r>
      <w:r w:rsidR="00031F9B" w:rsidRPr="00DB6BC5">
        <w:rPr>
          <w:rFonts w:ascii="Times New Roman" w:hAnsi="Times New Roman" w:cs="Times New Roman"/>
          <w:sz w:val="24"/>
          <w:szCs w:val="24"/>
          <w:lang w:val="en-US"/>
        </w:rPr>
        <w:t>;</w:t>
      </w:r>
    </w:p>
    <w:p w14:paraId="7F49BB3A" w14:textId="56ACBAA1" w:rsidR="00C920F4" w:rsidRPr="00DB6BC5" w:rsidRDefault="00031F9B" w:rsidP="00DB6BC5">
      <w:pPr>
        <w:pStyle w:val="ListParagraph"/>
        <w:numPr>
          <w:ilvl w:val="0"/>
          <w:numId w:val="15"/>
        </w:numPr>
        <w:jc w:val="both"/>
        <w:rPr>
          <w:rFonts w:ascii="Times New Roman" w:hAnsi="Times New Roman" w:cs="Times New Roman"/>
          <w:sz w:val="24"/>
          <w:szCs w:val="24"/>
          <w:lang w:val="sr-Latn-RS"/>
        </w:rPr>
      </w:pPr>
      <w:r w:rsidRPr="00DB6BC5">
        <w:rPr>
          <w:rFonts w:ascii="Times New Roman" w:hAnsi="Times New Roman" w:cs="Times New Roman"/>
          <w:sz w:val="24"/>
          <w:szCs w:val="24"/>
          <w:lang w:val="en-US"/>
        </w:rPr>
        <w:t>The councils should improve financial transparency:</w:t>
      </w:r>
      <w:r w:rsidR="00D00F6B" w:rsidRPr="00DB6BC5">
        <w:rPr>
          <w:rFonts w:ascii="Times New Roman" w:hAnsi="Times New Roman" w:cs="Times New Roman"/>
          <w:sz w:val="24"/>
          <w:szCs w:val="24"/>
          <w:lang w:val="sr-Latn-RS"/>
        </w:rPr>
        <w:t>:</w:t>
      </w:r>
    </w:p>
    <w:p w14:paraId="3DC9C942" w14:textId="77777777" w:rsidR="00031F9B" w:rsidRPr="00DB6BC5" w:rsidRDefault="00031F9B" w:rsidP="00DB6BC5">
      <w:pPr>
        <w:pStyle w:val="ListParagraph"/>
        <w:numPr>
          <w:ilvl w:val="0"/>
          <w:numId w:val="16"/>
        </w:numPr>
        <w:jc w:val="both"/>
        <w:rPr>
          <w:rFonts w:ascii="Times New Roman" w:hAnsi="Times New Roman" w:cs="Times New Roman"/>
          <w:sz w:val="24"/>
          <w:szCs w:val="24"/>
          <w:lang w:val="sr-Latn-RS"/>
        </w:rPr>
      </w:pPr>
      <w:r w:rsidRPr="00DB6BC5">
        <w:rPr>
          <w:rFonts w:ascii="Times New Roman" w:hAnsi="Times New Roman" w:cs="Times New Roman"/>
          <w:sz w:val="24"/>
          <w:szCs w:val="24"/>
          <w:lang w:val="en"/>
        </w:rPr>
        <w:lastRenderedPageBreak/>
        <w:t>The Judicial Council should make available all relevant public procurement information - plans, calls, decisions and contracts with annexes;</w:t>
      </w:r>
    </w:p>
    <w:p w14:paraId="4B7C5A63" w14:textId="77777777" w:rsidR="00031F9B" w:rsidRPr="00DB6BC5" w:rsidRDefault="00031F9B" w:rsidP="00DB6BC5">
      <w:pPr>
        <w:pStyle w:val="ListParagraph"/>
        <w:numPr>
          <w:ilvl w:val="0"/>
          <w:numId w:val="16"/>
        </w:numPr>
        <w:jc w:val="both"/>
        <w:rPr>
          <w:rFonts w:ascii="Times New Roman" w:hAnsi="Times New Roman" w:cs="Times New Roman"/>
          <w:sz w:val="24"/>
          <w:szCs w:val="24"/>
          <w:lang w:val="sr-Latn-RS"/>
        </w:rPr>
      </w:pPr>
      <w:r w:rsidRPr="00DB6BC5">
        <w:rPr>
          <w:rFonts w:ascii="Times New Roman" w:hAnsi="Times New Roman" w:cs="Times New Roman"/>
          <w:sz w:val="24"/>
          <w:szCs w:val="24"/>
          <w:lang w:val="en"/>
        </w:rPr>
        <w:t>The Judicial Council should regularly publish the annual budget on its website, which is currently only available as an integral part of the annual work report;</w:t>
      </w:r>
    </w:p>
    <w:p w14:paraId="1DE4A24E" w14:textId="77777777" w:rsidR="00031F9B" w:rsidRPr="00DB6BC5" w:rsidRDefault="00031F9B" w:rsidP="00DB6BC5">
      <w:pPr>
        <w:pStyle w:val="ListParagraph"/>
        <w:numPr>
          <w:ilvl w:val="0"/>
          <w:numId w:val="16"/>
        </w:numPr>
        <w:jc w:val="both"/>
        <w:rPr>
          <w:rFonts w:ascii="Times New Roman" w:hAnsi="Times New Roman" w:cs="Times New Roman"/>
          <w:sz w:val="24"/>
          <w:szCs w:val="24"/>
          <w:lang w:val="sr-Latn-RS"/>
        </w:rPr>
      </w:pPr>
      <w:r w:rsidRPr="00DB6BC5">
        <w:rPr>
          <w:rFonts w:ascii="Times New Roman" w:hAnsi="Times New Roman" w:cs="Times New Roman"/>
          <w:sz w:val="24"/>
          <w:szCs w:val="24"/>
          <w:lang w:val="en"/>
        </w:rPr>
        <w:t>The Prosecutorial Council should publish on its website the calls and decisions on public procurement procedures;</w:t>
      </w:r>
    </w:p>
    <w:p w14:paraId="35557509" w14:textId="77777777" w:rsidR="00031F9B" w:rsidRPr="00DB6BC5" w:rsidRDefault="00031F9B" w:rsidP="00DB6BC5">
      <w:pPr>
        <w:pStyle w:val="ListParagraph"/>
        <w:numPr>
          <w:ilvl w:val="0"/>
          <w:numId w:val="16"/>
        </w:numPr>
        <w:jc w:val="both"/>
        <w:rPr>
          <w:rFonts w:ascii="Times New Roman" w:hAnsi="Times New Roman" w:cs="Times New Roman"/>
          <w:sz w:val="24"/>
          <w:szCs w:val="24"/>
          <w:lang w:val="sr-Latn-RS"/>
        </w:rPr>
      </w:pPr>
      <w:r w:rsidRPr="00DB6BC5">
        <w:rPr>
          <w:rFonts w:ascii="Times New Roman" w:hAnsi="Times New Roman" w:cs="Times New Roman"/>
          <w:sz w:val="24"/>
          <w:szCs w:val="24"/>
          <w:lang w:val="en"/>
        </w:rPr>
        <w:t>The Prosecutorial Council should make accessible budgets and final accounts on its website;</w:t>
      </w:r>
    </w:p>
    <w:p w14:paraId="231FA4C7" w14:textId="4E65374E" w:rsidR="00C920F4" w:rsidRPr="00DB6BC5" w:rsidRDefault="00031F9B" w:rsidP="00DB6BC5">
      <w:pPr>
        <w:pStyle w:val="ListParagraph"/>
        <w:numPr>
          <w:ilvl w:val="0"/>
          <w:numId w:val="22"/>
        </w:numPr>
        <w:spacing w:after="0"/>
        <w:jc w:val="both"/>
        <w:rPr>
          <w:rFonts w:ascii="Times New Roman" w:eastAsia="Times New Roman" w:hAnsi="Times New Roman" w:cs="Times New Roman"/>
          <w:color w:val="000000"/>
          <w:sz w:val="24"/>
          <w:szCs w:val="24"/>
          <w:lang w:val="sr-Latn-ME" w:eastAsia="en-GB"/>
        </w:rPr>
      </w:pPr>
      <w:r w:rsidRPr="00DB6BC5">
        <w:rPr>
          <w:rFonts w:ascii="Times New Roman" w:hAnsi="Times New Roman" w:cs="Times New Roman"/>
          <w:sz w:val="24"/>
          <w:szCs w:val="24"/>
          <w:lang w:val="en-US"/>
        </w:rPr>
        <w:t>Judicial Council should publish a database with information that has been granted access.</w:t>
      </w:r>
    </w:p>
    <w:p w14:paraId="055C60D2" w14:textId="77777777" w:rsidR="00275C28" w:rsidRDefault="00275C28" w:rsidP="00DB6BC5">
      <w:pPr>
        <w:spacing w:after="0"/>
        <w:jc w:val="both"/>
        <w:rPr>
          <w:rFonts w:ascii="Times New Roman" w:eastAsia="Times New Roman" w:hAnsi="Times New Roman" w:cs="Times New Roman"/>
          <w:color w:val="000000"/>
          <w:sz w:val="24"/>
          <w:szCs w:val="24"/>
          <w:lang w:val="en-US" w:eastAsia="en-GB"/>
        </w:rPr>
      </w:pPr>
    </w:p>
    <w:p w14:paraId="7FD369C7"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6C8E0368" w14:textId="77777777" w:rsidR="00DB6BC5" w:rsidRDefault="00DB6BC5" w:rsidP="00DB6BC5">
      <w:pPr>
        <w:spacing w:after="0"/>
        <w:jc w:val="both"/>
        <w:rPr>
          <w:rFonts w:ascii="Times New Roman" w:eastAsia="Times New Roman" w:hAnsi="Times New Roman" w:cs="Times New Roman"/>
          <w:color w:val="000000"/>
          <w:sz w:val="24"/>
          <w:szCs w:val="24"/>
          <w:lang w:val="en-US" w:eastAsia="en-GB"/>
        </w:rPr>
      </w:pPr>
    </w:p>
    <w:p w14:paraId="1F25A066" w14:textId="77777777" w:rsidR="00DB6BC5" w:rsidRPr="00DB6BC5" w:rsidRDefault="00DB6BC5" w:rsidP="00DB6BC5">
      <w:pPr>
        <w:spacing w:after="0"/>
        <w:jc w:val="both"/>
        <w:rPr>
          <w:rFonts w:ascii="Times New Roman" w:eastAsia="Times New Roman" w:hAnsi="Times New Roman" w:cs="Times New Roman"/>
          <w:color w:val="000000"/>
          <w:sz w:val="24"/>
          <w:szCs w:val="24"/>
          <w:lang w:val="en-US" w:eastAsia="en-GB"/>
        </w:rPr>
      </w:pPr>
    </w:p>
    <w:p w14:paraId="74A2EBBD" w14:textId="7F56C507" w:rsidR="0074161D" w:rsidRDefault="0074161D" w:rsidP="00DB6BC5">
      <w:pPr>
        <w:pStyle w:val="ListParagraph"/>
        <w:numPr>
          <w:ilvl w:val="0"/>
          <w:numId w:val="1"/>
        </w:numPr>
        <w:spacing w:after="0"/>
        <w:jc w:val="both"/>
        <w:rPr>
          <w:rFonts w:ascii="Times New Roman" w:eastAsia="Times New Roman" w:hAnsi="Times New Roman" w:cs="Times New Roman"/>
          <w:b/>
          <w:color w:val="000000"/>
          <w:sz w:val="24"/>
          <w:szCs w:val="24"/>
          <w:lang w:val="en-GB" w:eastAsia="en-GB"/>
        </w:rPr>
      </w:pPr>
      <w:r w:rsidRPr="00DB6BC5">
        <w:rPr>
          <w:rFonts w:ascii="Times New Roman" w:eastAsia="Times New Roman" w:hAnsi="Times New Roman" w:cs="Times New Roman"/>
          <w:b/>
          <w:color w:val="000000"/>
          <w:sz w:val="24"/>
          <w:szCs w:val="24"/>
          <w:lang w:val="en-GB" w:eastAsia="en-GB"/>
        </w:rPr>
        <w:t>MET</w:t>
      </w:r>
      <w:r w:rsidR="001A0F1A" w:rsidRPr="00DB6BC5">
        <w:rPr>
          <w:rFonts w:ascii="Times New Roman" w:eastAsia="Times New Roman" w:hAnsi="Times New Roman" w:cs="Times New Roman"/>
          <w:b/>
          <w:color w:val="000000"/>
          <w:sz w:val="24"/>
          <w:szCs w:val="24"/>
          <w:lang w:val="en-GB" w:eastAsia="en-GB"/>
        </w:rPr>
        <w:t>HODLOGY</w:t>
      </w:r>
    </w:p>
    <w:p w14:paraId="01872706" w14:textId="77777777" w:rsidR="00DB6BC5" w:rsidRPr="00DB6BC5" w:rsidRDefault="00DB6BC5" w:rsidP="00DB6BC5">
      <w:pPr>
        <w:pStyle w:val="ListParagraph"/>
        <w:spacing w:after="0"/>
        <w:jc w:val="both"/>
        <w:rPr>
          <w:rFonts w:ascii="Times New Roman" w:eastAsia="Times New Roman" w:hAnsi="Times New Roman" w:cs="Times New Roman"/>
          <w:b/>
          <w:color w:val="000000"/>
          <w:sz w:val="24"/>
          <w:szCs w:val="24"/>
          <w:lang w:val="en-GB" w:eastAsia="en-GB"/>
        </w:rPr>
      </w:pPr>
    </w:p>
    <w:p w14:paraId="626E3864" w14:textId="493E30A2" w:rsidR="00DB6BC5" w:rsidRPr="00DB6BC5" w:rsidRDefault="00DB6BC5" w:rsidP="00DB6BC5">
      <w:pPr>
        <w:spacing w:after="120"/>
        <w:jc w:val="both"/>
        <w:rPr>
          <w:rFonts w:ascii="Times New Roman" w:hAnsi="Times New Roman" w:cs="Times New Roman"/>
          <w:sz w:val="24"/>
          <w:szCs w:val="24"/>
          <w:lang w:val="en-US"/>
        </w:rPr>
      </w:pPr>
      <w:r w:rsidRPr="00DB6BC5">
        <w:rPr>
          <w:rFonts w:ascii="Times New Roman" w:hAnsi="Times New Roman" w:cs="Times New Roman"/>
          <w:sz w:val="24"/>
          <w:szCs w:val="24"/>
          <w:lang w:val="en-US"/>
        </w:rPr>
        <w:t xml:space="preserve">The Regional Index of Openness is a composite indicator that measures the degree to which governments in the Western Balkan countries are open to citizens and society. Openness is a key condition for democracy because it enables citizens to obtain the information and knowledge they need to participate as equals in public debates, to take enlightened decisions and to hold governments accountable. Openness also supports good government because it allows governing elites to consider and draw on ideas and expertise dispersed in society. </w:t>
      </w:r>
    </w:p>
    <w:p w14:paraId="658969F2" w14:textId="3976336A" w:rsidR="00DB6BC5" w:rsidRPr="00DB6BC5" w:rsidRDefault="00DB6BC5" w:rsidP="00DB6BC5">
      <w:pPr>
        <w:spacing w:after="120"/>
        <w:jc w:val="both"/>
        <w:rPr>
          <w:rFonts w:ascii="Times New Roman" w:hAnsi="Times New Roman" w:cs="Times New Roman"/>
          <w:sz w:val="24"/>
          <w:szCs w:val="24"/>
          <w:lang w:val="en-US"/>
        </w:rPr>
      </w:pPr>
      <w:r w:rsidRPr="00DB6BC5">
        <w:rPr>
          <w:rFonts w:ascii="Times New Roman" w:eastAsia="Times New Roman" w:hAnsi="Times New Roman" w:cs="Times New Roman"/>
          <w:sz w:val="24"/>
          <w:szCs w:val="24"/>
          <w:lang w:eastAsia="sr-Latn-ME"/>
        </w:rPr>
        <w:t xml:space="preserve">The Regional index of openness measures the extent of </w:t>
      </w:r>
      <w:r w:rsidRPr="00DB6BC5">
        <w:rPr>
          <w:rFonts w:ascii="Times New Roman" w:eastAsia="Times New Roman" w:hAnsi="Times New Roman" w:cs="Times New Roman"/>
          <w:sz w:val="24"/>
          <w:szCs w:val="24"/>
          <w:lang w:val="en-US" w:eastAsia="sr-Latn-ME"/>
        </w:rPr>
        <w:t xml:space="preserve">institutions’ </w:t>
      </w:r>
      <w:r w:rsidRPr="00DB6BC5">
        <w:rPr>
          <w:rFonts w:ascii="Times New Roman" w:eastAsia="Times New Roman" w:hAnsi="Times New Roman" w:cs="Times New Roman"/>
          <w:sz w:val="24"/>
          <w:szCs w:val="24"/>
          <w:lang w:eastAsia="sr-Latn-ME"/>
        </w:rPr>
        <w:t xml:space="preserve">openness to citizens and society based on the following four principles: 1. transparency, 2. accessibility 3. integrity and 4. </w:t>
      </w:r>
      <w:proofErr w:type="gramStart"/>
      <w:r w:rsidRPr="00DB6BC5">
        <w:rPr>
          <w:rFonts w:ascii="Times New Roman" w:eastAsia="Times New Roman" w:hAnsi="Times New Roman" w:cs="Times New Roman"/>
          <w:sz w:val="24"/>
          <w:szCs w:val="24"/>
          <w:lang w:val="en-US" w:eastAsia="sr-Latn-ME"/>
        </w:rPr>
        <w:t>awareness</w:t>
      </w:r>
      <w:proofErr w:type="gramEnd"/>
      <w:r w:rsidRPr="00DB6BC5">
        <w:rPr>
          <w:rFonts w:ascii="Times New Roman" w:eastAsia="Times New Roman" w:hAnsi="Times New Roman" w:cs="Times New Roman"/>
          <w:sz w:val="24"/>
          <w:szCs w:val="24"/>
          <w:lang w:eastAsia="sr-Latn-ME"/>
        </w:rPr>
        <w:t>.</w:t>
      </w:r>
      <w:r w:rsidRPr="00DB6BC5">
        <w:rPr>
          <w:rFonts w:ascii="Times New Roman" w:hAnsi="Times New Roman" w:cs="Times New Roman"/>
          <w:sz w:val="24"/>
          <w:szCs w:val="24"/>
          <w:lang w:val="en-US"/>
        </w:rPr>
        <w:t xml:space="preserve"> </w:t>
      </w:r>
    </w:p>
    <w:p w14:paraId="577A8FD3" w14:textId="77777777" w:rsidR="00A77701" w:rsidRPr="00DB6BC5" w:rsidRDefault="00A77701" w:rsidP="00DB6BC5">
      <w:pPr>
        <w:spacing w:after="120"/>
        <w:jc w:val="both"/>
        <w:rPr>
          <w:rFonts w:ascii="Times New Roman" w:hAnsi="Times New Roman" w:cs="Times New Roman"/>
          <w:sz w:val="24"/>
          <w:szCs w:val="24"/>
          <w:lang w:val="en-US"/>
        </w:rPr>
      </w:pPr>
      <w:r w:rsidRPr="00DB6BC5">
        <w:rPr>
          <w:rFonts w:ascii="Times New Roman" w:hAnsi="Times New Roman" w:cs="Times New Roman"/>
          <w:sz w:val="24"/>
          <w:szCs w:val="24"/>
          <w:lang w:val="en-US"/>
        </w:rPr>
        <w:t xml:space="preserve">The principle of </w:t>
      </w:r>
      <w:r w:rsidRPr="00DB6BC5">
        <w:rPr>
          <w:rFonts w:ascii="Times New Roman" w:hAnsi="Times New Roman" w:cs="Times New Roman"/>
          <w:b/>
          <w:sz w:val="24"/>
          <w:szCs w:val="24"/>
          <w:lang w:val="en-US"/>
        </w:rPr>
        <w:t>transparency</w:t>
      </w:r>
      <w:r w:rsidRPr="00DB6BC5">
        <w:rPr>
          <w:rFonts w:ascii="Times New Roman" w:hAnsi="Times New Roman" w:cs="Times New Roman"/>
          <w:sz w:val="24"/>
          <w:szCs w:val="24"/>
          <w:lang w:val="en-US"/>
        </w:rPr>
        <w:t xml:space="preserve"> means that a government provides clear and relevant public information about what it is doing. This information relates to the organization and work of government institutions and in particular to budgeting and public procurement procedures. </w:t>
      </w:r>
    </w:p>
    <w:p w14:paraId="13EC772F" w14:textId="77777777" w:rsidR="00A77701" w:rsidRPr="00DB6BC5" w:rsidRDefault="00A77701" w:rsidP="00DB6BC5">
      <w:pPr>
        <w:spacing w:before="100" w:beforeAutospacing="1" w:after="100" w:afterAutospacing="1"/>
        <w:jc w:val="both"/>
        <w:rPr>
          <w:rFonts w:ascii="Times New Roman" w:eastAsia="Times New Roman" w:hAnsi="Times New Roman" w:cs="Times New Roman"/>
          <w:sz w:val="24"/>
          <w:szCs w:val="24"/>
          <w:lang w:eastAsia="sr-Latn-ME"/>
        </w:rPr>
      </w:pPr>
      <w:r w:rsidRPr="00DB6BC5">
        <w:rPr>
          <w:rFonts w:ascii="Times New Roman" w:eastAsia="Times New Roman" w:hAnsi="Times New Roman" w:cs="Times New Roman"/>
          <w:b/>
          <w:sz w:val="24"/>
          <w:szCs w:val="24"/>
          <w:lang w:eastAsia="sr-Latn-ME"/>
        </w:rPr>
        <w:t>Accessibility</w:t>
      </w:r>
      <w:r w:rsidRPr="00DB6BC5">
        <w:rPr>
          <w:rFonts w:ascii="Times New Roman" w:eastAsia="Times New Roman" w:hAnsi="Times New Roman" w:cs="Times New Roman"/>
          <w:sz w:val="24"/>
          <w:szCs w:val="24"/>
          <w:lang w:eastAsia="sr-Latn-ME"/>
        </w:rPr>
        <w:t xml:space="preserve"> is related to ensuring and respecting procedures for free access to information and strengthening interaction with citizens as well. </w:t>
      </w:r>
    </w:p>
    <w:p w14:paraId="71A4FE45" w14:textId="77777777" w:rsidR="00A77701" w:rsidRPr="00DB6BC5" w:rsidRDefault="00A77701" w:rsidP="00DB6BC5">
      <w:pPr>
        <w:spacing w:before="100" w:beforeAutospacing="1" w:after="100" w:afterAutospacing="1"/>
        <w:jc w:val="both"/>
        <w:rPr>
          <w:rFonts w:ascii="Times New Roman" w:eastAsia="Times New Roman" w:hAnsi="Times New Roman" w:cs="Times New Roman"/>
          <w:sz w:val="24"/>
          <w:szCs w:val="24"/>
          <w:lang w:eastAsia="sr-Latn-ME"/>
        </w:rPr>
      </w:pPr>
      <w:r w:rsidRPr="00DB6BC5">
        <w:rPr>
          <w:rFonts w:ascii="Times New Roman" w:eastAsia="Times New Roman" w:hAnsi="Times New Roman" w:cs="Times New Roman"/>
          <w:b/>
          <w:sz w:val="24"/>
          <w:szCs w:val="24"/>
          <w:lang w:eastAsia="sr-Latn-ME"/>
        </w:rPr>
        <w:t>Integrity</w:t>
      </w:r>
      <w:r w:rsidRPr="00DB6BC5">
        <w:rPr>
          <w:rFonts w:ascii="Times New Roman" w:eastAsia="Times New Roman" w:hAnsi="Times New Roman" w:cs="Times New Roman"/>
          <w:sz w:val="24"/>
          <w:szCs w:val="24"/>
          <w:lang w:eastAsia="sr-Latn-ME"/>
        </w:rPr>
        <w:t xml:space="preserve"> includes mechanisms for prevention of corruption, implementing codes of conduct and regulation of lobbying. </w:t>
      </w:r>
    </w:p>
    <w:p w14:paraId="08F4445A" w14:textId="77777777" w:rsidR="00DB6BC5" w:rsidRDefault="00A77701" w:rsidP="00DB6BC5">
      <w:pPr>
        <w:spacing w:before="100" w:beforeAutospacing="1" w:after="100" w:afterAutospacing="1"/>
        <w:jc w:val="both"/>
        <w:rPr>
          <w:rFonts w:ascii="Times New Roman" w:eastAsia="Times New Roman" w:hAnsi="Times New Roman" w:cs="Times New Roman"/>
          <w:sz w:val="24"/>
          <w:szCs w:val="24"/>
          <w:lang w:eastAsia="sr-Latn-ME"/>
        </w:rPr>
      </w:pPr>
      <w:r w:rsidRPr="00DB6BC5">
        <w:rPr>
          <w:rFonts w:ascii="Times New Roman" w:eastAsia="Times New Roman" w:hAnsi="Times New Roman" w:cs="Times New Roman"/>
          <w:sz w:val="24"/>
          <w:szCs w:val="24"/>
          <w:lang w:eastAsia="sr-Latn-ME"/>
        </w:rPr>
        <w:t xml:space="preserve">The last principle, </w:t>
      </w:r>
      <w:r w:rsidRPr="00DB6BC5">
        <w:rPr>
          <w:rFonts w:ascii="Times New Roman" w:eastAsia="Times New Roman" w:hAnsi="Times New Roman" w:cs="Times New Roman"/>
          <w:b/>
          <w:sz w:val="24"/>
          <w:szCs w:val="24"/>
          <w:lang w:val="en-US" w:eastAsia="sr-Latn-ME"/>
        </w:rPr>
        <w:t>awareness</w:t>
      </w:r>
      <w:r w:rsidRPr="00DB6BC5">
        <w:rPr>
          <w:rFonts w:ascii="Times New Roman" w:eastAsia="Times New Roman" w:hAnsi="Times New Roman" w:cs="Times New Roman"/>
          <w:sz w:val="24"/>
          <w:szCs w:val="24"/>
          <w:lang w:eastAsia="sr-Latn-ME"/>
        </w:rPr>
        <w:t xml:space="preserve">, is related to monitoring and evaluation of policies which are conducted. </w:t>
      </w:r>
      <w:r w:rsidRPr="00DB6BC5">
        <w:rPr>
          <w:rFonts w:ascii="Times New Roman" w:hAnsi="Times New Roman" w:cs="Times New Roman"/>
          <w:sz w:val="24"/>
          <w:szCs w:val="24"/>
          <w:lang w:val="en-US"/>
        </w:rPr>
        <w:t xml:space="preserve">Awareness denotes the availability and provision of information and knowledge within government. </w:t>
      </w:r>
    </w:p>
    <w:p w14:paraId="7120A4C4" w14:textId="1DEEF21C" w:rsidR="00A77701" w:rsidRPr="00DB6BC5" w:rsidRDefault="00A77701" w:rsidP="00DB6BC5">
      <w:pPr>
        <w:spacing w:before="100" w:beforeAutospacing="1" w:after="100" w:afterAutospacing="1"/>
        <w:jc w:val="both"/>
        <w:rPr>
          <w:rFonts w:ascii="Times New Roman" w:eastAsia="Times New Roman" w:hAnsi="Times New Roman" w:cs="Times New Roman"/>
          <w:sz w:val="24"/>
          <w:szCs w:val="24"/>
          <w:lang w:eastAsia="sr-Latn-ME"/>
        </w:rPr>
      </w:pPr>
      <w:r w:rsidRPr="00DB6BC5">
        <w:rPr>
          <w:rFonts w:ascii="Times New Roman" w:hAnsi="Times New Roman" w:cs="Times New Roman"/>
          <w:sz w:val="24"/>
          <w:szCs w:val="24"/>
          <w:lang w:val="en-US"/>
        </w:rPr>
        <w:lastRenderedPageBreak/>
        <w:t xml:space="preserve">The four principles are further disaggregated into individual questions that are assessed on the basis of websites, other public information sources and questionnaires. The Openness Index assesses how these four principles are realized in the following institutions or sets of institutions: core executive; line ministries; executive agencies; parliament; local self-government; courts; public prosecution. Since these institutions perform different functions in the process of governing or policy-making, individual questions are adapted to match the profiles of the respective institutions. </w:t>
      </w:r>
    </w:p>
    <w:p w14:paraId="5D3FD7CF" w14:textId="77777777" w:rsidR="00A77701" w:rsidRPr="00DB6BC5" w:rsidRDefault="00A77701" w:rsidP="00DB6BC5">
      <w:pPr>
        <w:spacing w:after="0"/>
        <w:jc w:val="both"/>
        <w:rPr>
          <w:rFonts w:ascii="Times New Roman" w:hAnsi="Times New Roman" w:cs="Times New Roman"/>
          <w:sz w:val="24"/>
          <w:szCs w:val="24"/>
          <w:lang w:val="en-US"/>
        </w:rPr>
      </w:pPr>
    </w:p>
    <w:p w14:paraId="754702E0" w14:textId="77777777" w:rsidR="00A77701" w:rsidRPr="00DB6BC5" w:rsidRDefault="00A77701" w:rsidP="00DB6BC5">
      <w:pPr>
        <w:spacing w:after="0"/>
        <w:jc w:val="both"/>
        <w:rPr>
          <w:rFonts w:ascii="Times New Roman" w:hAnsi="Times New Roman" w:cs="Times New Roman"/>
          <w:sz w:val="24"/>
          <w:szCs w:val="24"/>
          <w:lang w:val="en-US"/>
        </w:rPr>
      </w:pPr>
    </w:p>
    <w:p w14:paraId="6CD71F15" w14:textId="77777777" w:rsidR="00DB6BC5" w:rsidRDefault="00A77701" w:rsidP="00DB6BC5">
      <w:pPr>
        <w:spacing w:before="100" w:beforeAutospacing="1" w:after="100" w:afterAutospacing="1"/>
        <w:jc w:val="both"/>
        <w:rPr>
          <w:rFonts w:ascii="Times New Roman" w:eastAsia="Times New Roman" w:hAnsi="Times New Roman" w:cs="Times New Roman"/>
          <w:sz w:val="24"/>
          <w:szCs w:val="24"/>
          <w:lang w:eastAsia="sr-Latn-ME"/>
        </w:rPr>
      </w:pPr>
      <w:r w:rsidRPr="00DB6BC5">
        <w:rPr>
          <w:rFonts w:ascii="Times New Roman" w:eastAsia="Times New Roman" w:hAnsi="Times New Roman" w:cs="Times New Roman"/>
          <w:sz w:val="24"/>
          <w:szCs w:val="24"/>
          <w:lang w:eastAsia="sr-Latn-ME"/>
        </w:rPr>
        <w:t xml:space="preserve">Following the international standards, recommendations and examples of good practice, these principles are further developed through quantitative and qualitative indicators, which are estimated on the basis of information availability on official websites, legal framework's quality for specific questions, other sources of public informing and questionnaires delivered to institutions. </w:t>
      </w:r>
    </w:p>
    <w:p w14:paraId="244B54BB" w14:textId="13D05641" w:rsidR="00A77701" w:rsidRPr="00DB6BC5" w:rsidRDefault="00A77701" w:rsidP="00DB6BC5">
      <w:pPr>
        <w:spacing w:before="100" w:beforeAutospacing="1" w:after="100" w:afterAutospacing="1"/>
        <w:jc w:val="both"/>
        <w:rPr>
          <w:rFonts w:ascii="Times New Roman" w:eastAsia="Times New Roman" w:hAnsi="Times New Roman" w:cs="Times New Roman"/>
          <w:sz w:val="24"/>
          <w:szCs w:val="24"/>
          <w:lang w:eastAsia="sr-Latn-ME"/>
        </w:rPr>
      </w:pPr>
      <w:r w:rsidRPr="00DB6BC5">
        <w:rPr>
          <w:rFonts w:ascii="Times New Roman" w:hAnsi="Times New Roman" w:cs="Times New Roman"/>
          <w:sz w:val="24"/>
          <w:szCs w:val="24"/>
        </w:rPr>
        <w:t>Based on the results of the research carried out in 2016, analyzes have been carried out to provide an overview of the situation in the institutions of Montenegro and the region, including the observed shortcomings and good practices in this area. Based on these analyzes, last year, recommendations and roadmaps were made to improve the specific areas covered by the research.</w:t>
      </w:r>
    </w:p>
    <w:p w14:paraId="78FE59BB" w14:textId="77777777" w:rsidR="00A77701" w:rsidRPr="00DB6BC5" w:rsidRDefault="00A77701" w:rsidP="00DB6BC5">
      <w:pPr>
        <w:jc w:val="both"/>
        <w:rPr>
          <w:rFonts w:ascii="Times New Roman" w:hAnsi="Times New Roman" w:cs="Times New Roman"/>
          <w:sz w:val="24"/>
          <w:szCs w:val="24"/>
        </w:rPr>
      </w:pPr>
      <w:r w:rsidRPr="00DB6BC5">
        <w:rPr>
          <w:rFonts w:ascii="Times New Roman" w:hAnsi="Times New Roman" w:cs="Times New Roman"/>
          <w:sz w:val="24"/>
          <w:szCs w:val="24"/>
        </w:rPr>
        <w:t>The members of the Action SEE network, after basing their work on the findings and results of last year's monitoring, started to improve and adapt the research methodology and its indicators.</w:t>
      </w:r>
    </w:p>
    <w:p w14:paraId="50C545EE" w14:textId="77777777" w:rsidR="00A77701" w:rsidRPr="00DB6BC5" w:rsidRDefault="00A77701" w:rsidP="00DB6BC5">
      <w:pPr>
        <w:jc w:val="both"/>
        <w:rPr>
          <w:rFonts w:ascii="Times New Roman" w:hAnsi="Times New Roman" w:cs="Times New Roman"/>
          <w:sz w:val="24"/>
          <w:szCs w:val="24"/>
        </w:rPr>
      </w:pPr>
      <w:r w:rsidRPr="00DB6BC5">
        <w:rPr>
          <w:rFonts w:ascii="Times New Roman" w:hAnsi="Times New Roman" w:cs="Times New Roman"/>
          <w:sz w:val="24"/>
          <w:szCs w:val="24"/>
        </w:rPr>
        <w:t>The aim of using new and improved indicators is to add new value to research and to make a more effective contribution to enhancing the openness of the institutions of the region.</w:t>
      </w:r>
    </w:p>
    <w:p w14:paraId="29EB7CC2" w14:textId="385E923A" w:rsidR="0074161D" w:rsidRPr="00DB6BC5" w:rsidRDefault="00A77701" w:rsidP="00DB6BC5">
      <w:pPr>
        <w:jc w:val="both"/>
        <w:rPr>
          <w:rFonts w:ascii="Times New Roman" w:hAnsi="Times New Roman" w:cs="Times New Roman"/>
          <w:sz w:val="24"/>
          <w:szCs w:val="24"/>
        </w:rPr>
      </w:pPr>
      <w:r w:rsidRPr="00DB6BC5">
        <w:rPr>
          <w:rFonts w:ascii="Times New Roman" w:hAnsi="Times New Roman" w:cs="Times New Roman"/>
          <w:sz w:val="24"/>
          <w:szCs w:val="24"/>
        </w:rPr>
        <w:t>We believe that the institutions, led by simply presented steps for improvement of the situation in these areas, will work on its improvement. That is why we want to advocate a higher level of openness of the institutions in the region. This year's research has been enriched with indicators advocating a higher standard of proactive transparency, which is also an international standard, and this represents the core of our project.</w:t>
      </w:r>
    </w:p>
    <w:p w14:paraId="52807320" w14:textId="77777777" w:rsidR="00A77701" w:rsidRPr="00DB6BC5" w:rsidRDefault="00A77701" w:rsidP="00DB6BC5">
      <w:pPr>
        <w:spacing w:after="0"/>
        <w:jc w:val="both"/>
        <w:rPr>
          <w:rFonts w:ascii="Times New Roman" w:eastAsia="Times New Roman" w:hAnsi="Times New Roman" w:cs="Times New Roman"/>
          <w:b/>
          <w:sz w:val="24"/>
          <w:szCs w:val="24"/>
          <w:lang w:val="en-US" w:eastAsia="en-GB"/>
        </w:rPr>
      </w:pPr>
      <w:r w:rsidRPr="00DB6BC5">
        <w:rPr>
          <w:rFonts w:ascii="Times New Roman" w:eastAsia="Times New Roman" w:hAnsi="Times New Roman" w:cs="Times New Roman"/>
          <w:b/>
          <w:sz w:val="24"/>
          <w:szCs w:val="24"/>
          <w:lang w:val="en-US" w:eastAsia="en-GB"/>
        </w:rPr>
        <w:t>Methodological constrains</w:t>
      </w:r>
    </w:p>
    <w:p w14:paraId="24CD62BA" w14:textId="77777777" w:rsidR="00A77701" w:rsidRPr="00DB6BC5" w:rsidRDefault="00A77701" w:rsidP="00DB6BC5">
      <w:pPr>
        <w:spacing w:after="0"/>
        <w:jc w:val="both"/>
        <w:rPr>
          <w:rFonts w:ascii="Times New Roman" w:eastAsia="Times New Roman" w:hAnsi="Times New Roman" w:cs="Times New Roman"/>
          <w:sz w:val="24"/>
          <w:szCs w:val="24"/>
          <w:lang w:val="en-US" w:eastAsia="en-GB"/>
        </w:rPr>
      </w:pPr>
    </w:p>
    <w:p w14:paraId="765133B6" w14:textId="77777777" w:rsidR="00A77701" w:rsidRPr="00DB6BC5" w:rsidRDefault="00A77701" w:rsidP="00DB6BC5">
      <w:pPr>
        <w:spacing w:after="0"/>
        <w:jc w:val="both"/>
        <w:rPr>
          <w:rFonts w:ascii="Times New Roman" w:eastAsia="Times New Roman" w:hAnsi="Times New Roman" w:cs="Times New Roman"/>
          <w:sz w:val="24"/>
          <w:szCs w:val="24"/>
          <w:lang w:val="en-US" w:eastAsia="en-GB"/>
        </w:rPr>
      </w:pPr>
      <w:r w:rsidRPr="00DB6BC5">
        <w:rPr>
          <w:rFonts w:ascii="Times New Roman" w:eastAsia="Times New Roman" w:hAnsi="Times New Roman" w:cs="Times New Roman"/>
          <w:sz w:val="24"/>
          <w:szCs w:val="24"/>
          <w:lang w:val="en-US" w:eastAsia="en-GB"/>
        </w:rPr>
        <w:t xml:space="preserve">Research methodology provides a formal insight into the achieved level of institutional openness in the region. However, in certain cases, its conclusions on how the institutional openness functions on the ground are limited. The very existence of legal framework for institutional openness is not </w:t>
      </w:r>
      <w:r w:rsidRPr="00DB6BC5">
        <w:rPr>
          <w:rFonts w:ascii="Times New Roman" w:eastAsia="Times New Roman" w:hAnsi="Times New Roman" w:cs="Times New Roman"/>
          <w:sz w:val="24"/>
          <w:szCs w:val="24"/>
          <w:lang w:val="en-US" w:eastAsia="en-GB"/>
        </w:rPr>
        <w:lastRenderedPageBreak/>
        <w:t xml:space="preserve">a guarantee that good governance principles are implemented in practice. This research provides a space for further in-depth policy analyses of particular segments of openness and good governance principles implementation, which would be valuable for obtaining a comprehensive and clear picture of the openness of public institutions in the region.  </w:t>
      </w:r>
    </w:p>
    <w:p w14:paraId="2439CB86" w14:textId="77777777" w:rsidR="00A77701" w:rsidRPr="00DB6BC5" w:rsidRDefault="00A77701" w:rsidP="00DB6BC5">
      <w:pPr>
        <w:spacing w:after="0"/>
        <w:jc w:val="both"/>
        <w:rPr>
          <w:rFonts w:ascii="Times New Roman" w:eastAsia="Times New Roman" w:hAnsi="Times New Roman" w:cs="Times New Roman"/>
          <w:sz w:val="24"/>
          <w:szCs w:val="24"/>
          <w:lang w:val="en-US" w:eastAsia="en-GB"/>
        </w:rPr>
      </w:pPr>
      <w:r w:rsidRPr="00DB6BC5">
        <w:rPr>
          <w:rFonts w:ascii="Times New Roman" w:eastAsia="Times New Roman" w:hAnsi="Times New Roman" w:cs="Times New Roman"/>
          <w:sz w:val="24"/>
          <w:szCs w:val="24"/>
          <w:lang w:val="en-US" w:eastAsia="en-GB"/>
        </w:rPr>
        <w:t xml:space="preserve"> </w:t>
      </w:r>
    </w:p>
    <w:p w14:paraId="584197A3" w14:textId="77777777" w:rsidR="00A77701" w:rsidRPr="00DB6BC5" w:rsidRDefault="00A77701" w:rsidP="00DB6BC5">
      <w:pPr>
        <w:spacing w:after="0"/>
        <w:jc w:val="both"/>
        <w:rPr>
          <w:rFonts w:ascii="Times New Roman" w:eastAsia="Times New Roman" w:hAnsi="Times New Roman" w:cs="Times New Roman"/>
          <w:sz w:val="24"/>
          <w:szCs w:val="24"/>
          <w:lang w:val="en-US" w:eastAsia="en-GB"/>
        </w:rPr>
      </w:pPr>
      <w:r w:rsidRPr="00DB6BC5">
        <w:rPr>
          <w:rFonts w:ascii="Times New Roman" w:eastAsia="Times New Roman" w:hAnsi="Times New Roman" w:cs="Times New Roman"/>
          <w:sz w:val="24"/>
          <w:szCs w:val="24"/>
          <w:lang w:val="en-US" w:eastAsia="en-GB"/>
        </w:rPr>
        <w:t xml:space="preserve">Moreover, differences in governance structure and territorial organization between Western Balkans countries limit, to a certain extent, comparative assessment of the achieved levels of institutional openness. In that sense, results of executive, legislative and judicial openness sometimes do not reflect actual relations between different institutions at both, national and regional levels. </w:t>
      </w:r>
    </w:p>
    <w:p w14:paraId="143482A3" w14:textId="77777777" w:rsidR="0074161D" w:rsidRPr="00DB6BC5" w:rsidRDefault="0074161D" w:rsidP="00DB6BC5">
      <w:pPr>
        <w:spacing w:after="0"/>
        <w:jc w:val="both"/>
        <w:rPr>
          <w:rFonts w:ascii="Times New Roman" w:eastAsia="Times New Roman" w:hAnsi="Times New Roman" w:cs="Times New Roman"/>
          <w:b/>
          <w:color w:val="000000"/>
          <w:sz w:val="24"/>
          <w:szCs w:val="24"/>
          <w:lang w:val="en-US" w:eastAsia="en-GB"/>
        </w:rPr>
      </w:pPr>
    </w:p>
    <w:p w14:paraId="3D84512D" w14:textId="2A31C674" w:rsidR="0074161D" w:rsidRPr="00DB6BC5" w:rsidRDefault="00A77701" w:rsidP="00DB6BC5">
      <w:pPr>
        <w:pStyle w:val="ListParagraph"/>
        <w:numPr>
          <w:ilvl w:val="0"/>
          <w:numId w:val="1"/>
        </w:numPr>
        <w:spacing w:after="0"/>
        <w:jc w:val="both"/>
        <w:rPr>
          <w:rFonts w:ascii="Times New Roman" w:eastAsia="Times New Roman" w:hAnsi="Times New Roman" w:cs="Times New Roman"/>
          <w:b/>
          <w:color w:val="000000"/>
          <w:sz w:val="24"/>
          <w:szCs w:val="24"/>
          <w:lang w:val="en-US" w:eastAsia="en-GB"/>
        </w:rPr>
      </w:pPr>
      <w:r w:rsidRPr="00DB6BC5">
        <w:rPr>
          <w:rFonts w:ascii="Times New Roman" w:eastAsia="Times New Roman" w:hAnsi="Times New Roman" w:cs="Times New Roman"/>
          <w:b/>
          <w:color w:val="000000"/>
          <w:sz w:val="24"/>
          <w:szCs w:val="24"/>
          <w:lang w:val="en-US" w:eastAsia="en-GB"/>
        </w:rPr>
        <w:t>PROJECT</w:t>
      </w:r>
    </w:p>
    <w:p w14:paraId="182AFA66" w14:textId="77777777" w:rsidR="0074161D" w:rsidRPr="00DB6BC5" w:rsidRDefault="0074161D" w:rsidP="00DB6BC5">
      <w:pPr>
        <w:spacing w:after="0"/>
        <w:jc w:val="both"/>
        <w:rPr>
          <w:rFonts w:ascii="Times New Roman" w:eastAsia="Times New Roman" w:hAnsi="Times New Roman" w:cs="Times New Roman"/>
          <w:b/>
          <w:color w:val="000000"/>
          <w:sz w:val="24"/>
          <w:szCs w:val="24"/>
          <w:lang w:val="en-US" w:eastAsia="en-GB"/>
        </w:rPr>
      </w:pPr>
    </w:p>
    <w:p w14:paraId="7BCA0D5C" w14:textId="77777777" w:rsidR="00A77701" w:rsidRPr="00DB6BC5" w:rsidRDefault="00A77701" w:rsidP="00DB6BC5">
      <w:pPr>
        <w:spacing w:after="0"/>
        <w:jc w:val="both"/>
        <w:rPr>
          <w:rFonts w:ascii="Times New Roman" w:eastAsia="Times New Roman" w:hAnsi="Times New Roman" w:cs="Times New Roman"/>
          <w:sz w:val="24"/>
          <w:szCs w:val="24"/>
          <w:lang w:val="en-US" w:eastAsia="en-GB"/>
        </w:rPr>
      </w:pPr>
      <w:r w:rsidRPr="00DB6BC5">
        <w:rPr>
          <w:rFonts w:ascii="Times New Roman" w:eastAsia="Times New Roman" w:hAnsi="Times New Roman" w:cs="Times New Roman"/>
          <w:sz w:val="24"/>
          <w:szCs w:val="24"/>
          <w:lang w:val="en-US" w:eastAsia="en-GB"/>
        </w:rPr>
        <w:t>Good governance is key to rule of law. And while issues of corruption, transparency, rule of law and good governance are always in the spotlight, there remains a lack of understanding and systemic problems that hardly receive sufficient coverage. The “Accountability, Technology and Institutional Openness Network in South East Europe - ACTION SEE” project aims to raise awareness of such challenges by facilitating cooperation among civic organizations and consolidated strategic efforts for representation.</w:t>
      </w:r>
    </w:p>
    <w:p w14:paraId="116F79A3" w14:textId="77777777" w:rsidR="00A77701" w:rsidRPr="00DB6BC5" w:rsidRDefault="00A77701" w:rsidP="00DB6BC5">
      <w:pPr>
        <w:spacing w:after="0"/>
        <w:jc w:val="both"/>
        <w:rPr>
          <w:rFonts w:ascii="Times New Roman" w:eastAsia="Times New Roman" w:hAnsi="Times New Roman" w:cs="Times New Roman"/>
          <w:sz w:val="24"/>
          <w:szCs w:val="24"/>
          <w:lang w:val="en-US" w:eastAsia="en-GB"/>
        </w:rPr>
      </w:pPr>
    </w:p>
    <w:p w14:paraId="7C9A1563" w14:textId="77777777" w:rsidR="00A77701" w:rsidRPr="00DB6BC5" w:rsidRDefault="00A77701" w:rsidP="00DB6BC5">
      <w:pPr>
        <w:spacing w:after="0"/>
        <w:jc w:val="both"/>
        <w:rPr>
          <w:rFonts w:ascii="Times New Roman" w:eastAsia="Times New Roman" w:hAnsi="Times New Roman" w:cs="Times New Roman"/>
          <w:sz w:val="24"/>
          <w:szCs w:val="24"/>
          <w:lang w:val="en-US" w:eastAsia="en-GB"/>
        </w:rPr>
      </w:pPr>
      <w:r w:rsidRPr="00DB6BC5">
        <w:rPr>
          <w:rFonts w:ascii="Times New Roman" w:eastAsia="Times New Roman" w:hAnsi="Times New Roman" w:cs="Times New Roman"/>
          <w:sz w:val="24"/>
          <w:szCs w:val="24"/>
          <w:lang w:val="en-US" w:eastAsia="en-GB"/>
        </w:rPr>
        <w:t>ACTION SEE provides a platform for dialogue and a concrete tool to measure the degree to which state institutions uphold principles and standards of open governance (Openness index).</w:t>
      </w:r>
    </w:p>
    <w:p w14:paraId="3E33797E" w14:textId="77777777" w:rsidR="00A77701" w:rsidRPr="00DB6BC5" w:rsidRDefault="00A77701" w:rsidP="00DB6BC5">
      <w:pPr>
        <w:spacing w:after="0"/>
        <w:jc w:val="both"/>
        <w:rPr>
          <w:rFonts w:ascii="Times New Roman" w:eastAsia="Times New Roman" w:hAnsi="Times New Roman" w:cs="Times New Roman"/>
          <w:sz w:val="24"/>
          <w:szCs w:val="24"/>
          <w:lang w:val="en-US" w:eastAsia="en-GB"/>
        </w:rPr>
      </w:pPr>
    </w:p>
    <w:p w14:paraId="57C89A6F" w14:textId="77777777" w:rsidR="00A77701" w:rsidRPr="00DB6BC5" w:rsidRDefault="00A77701" w:rsidP="00DB6BC5">
      <w:pPr>
        <w:spacing w:after="0"/>
        <w:jc w:val="both"/>
        <w:rPr>
          <w:rFonts w:ascii="Times New Roman" w:eastAsia="Times New Roman" w:hAnsi="Times New Roman" w:cs="Times New Roman"/>
          <w:sz w:val="24"/>
          <w:szCs w:val="24"/>
          <w:lang w:val="en-US" w:eastAsia="en-GB"/>
        </w:rPr>
      </w:pPr>
      <w:r w:rsidRPr="00DB6BC5">
        <w:rPr>
          <w:rFonts w:ascii="Times New Roman" w:eastAsia="Times New Roman" w:hAnsi="Times New Roman" w:cs="Times New Roman"/>
          <w:sz w:val="24"/>
          <w:szCs w:val="24"/>
          <w:lang w:val="en-US" w:eastAsia="en-GB"/>
        </w:rPr>
        <w:t>The project aims to increase the inclusion of civic society and media organizations in decision making processes and the creation of public opinion and policies, as well as to raise the capacity of civic societies to address sensitive issues.</w:t>
      </w:r>
    </w:p>
    <w:p w14:paraId="45D96EFD" w14:textId="77777777" w:rsidR="00A77701" w:rsidRPr="00DB6BC5" w:rsidRDefault="00A77701" w:rsidP="00DB6BC5">
      <w:pPr>
        <w:spacing w:after="0"/>
        <w:jc w:val="both"/>
        <w:rPr>
          <w:rFonts w:ascii="Times New Roman" w:eastAsia="Times New Roman" w:hAnsi="Times New Roman" w:cs="Times New Roman"/>
          <w:sz w:val="24"/>
          <w:szCs w:val="24"/>
          <w:lang w:val="en-US" w:eastAsia="en-GB"/>
        </w:rPr>
      </w:pPr>
      <w:r w:rsidRPr="00DB6BC5">
        <w:rPr>
          <w:rFonts w:ascii="Times New Roman" w:eastAsia="Times New Roman" w:hAnsi="Times New Roman" w:cs="Times New Roman"/>
          <w:sz w:val="24"/>
          <w:szCs w:val="24"/>
          <w:lang w:val="en-US" w:eastAsia="en-GB"/>
        </w:rPr>
        <w:t xml:space="preserve"> </w:t>
      </w:r>
    </w:p>
    <w:p w14:paraId="4183B182" w14:textId="77777777" w:rsidR="00A77701" w:rsidRPr="00DB6BC5" w:rsidRDefault="00A77701" w:rsidP="00DB6BC5">
      <w:pPr>
        <w:spacing w:after="0"/>
        <w:jc w:val="both"/>
        <w:rPr>
          <w:rFonts w:ascii="Times New Roman" w:eastAsia="Times New Roman" w:hAnsi="Times New Roman" w:cs="Times New Roman"/>
          <w:sz w:val="24"/>
          <w:szCs w:val="24"/>
          <w:lang w:val="en-US" w:eastAsia="en-GB"/>
        </w:rPr>
      </w:pPr>
      <w:r w:rsidRPr="00DB6BC5">
        <w:rPr>
          <w:rFonts w:ascii="Times New Roman" w:eastAsia="Times New Roman" w:hAnsi="Times New Roman" w:cs="Times New Roman"/>
          <w:sz w:val="24"/>
          <w:szCs w:val="24"/>
          <w:lang w:val="en-US" w:eastAsia="en-GB"/>
        </w:rPr>
        <w:t>Specific project goals:</w:t>
      </w:r>
    </w:p>
    <w:p w14:paraId="743D9AA5" w14:textId="77777777" w:rsidR="00A77701" w:rsidRPr="00DB6BC5" w:rsidRDefault="00A77701" w:rsidP="00DB6BC5">
      <w:pPr>
        <w:spacing w:after="0"/>
        <w:jc w:val="both"/>
        <w:rPr>
          <w:rFonts w:ascii="Times New Roman" w:eastAsia="Times New Roman" w:hAnsi="Times New Roman" w:cs="Times New Roman"/>
          <w:sz w:val="24"/>
          <w:szCs w:val="24"/>
          <w:lang w:val="en-US" w:eastAsia="en-GB"/>
        </w:rPr>
      </w:pPr>
    </w:p>
    <w:p w14:paraId="7A62A4A6" w14:textId="77777777" w:rsidR="00A77701" w:rsidRPr="00DB6BC5" w:rsidRDefault="00A77701" w:rsidP="00DB6BC5">
      <w:pPr>
        <w:pStyle w:val="ListParagraph"/>
        <w:numPr>
          <w:ilvl w:val="0"/>
          <w:numId w:val="23"/>
        </w:numPr>
        <w:spacing w:after="0"/>
        <w:jc w:val="both"/>
        <w:rPr>
          <w:rFonts w:ascii="Times New Roman" w:eastAsia="Times New Roman" w:hAnsi="Times New Roman" w:cs="Times New Roman"/>
          <w:sz w:val="24"/>
          <w:szCs w:val="24"/>
          <w:lang w:val="en-US" w:eastAsia="en-GB"/>
        </w:rPr>
      </w:pPr>
      <w:r w:rsidRPr="00DB6BC5">
        <w:rPr>
          <w:rFonts w:ascii="Times New Roman" w:eastAsia="Times New Roman" w:hAnsi="Times New Roman" w:cs="Times New Roman"/>
          <w:sz w:val="24"/>
          <w:szCs w:val="24"/>
          <w:lang w:val="en-US" w:eastAsia="en-GB"/>
        </w:rPr>
        <w:t xml:space="preserve">Promote a dynamic civic society which effectively </w:t>
      </w:r>
      <w:proofErr w:type="spellStart"/>
      <w:r w:rsidRPr="00DB6BC5">
        <w:rPr>
          <w:rFonts w:ascii="Times New Roman" w:eastAsia="Times New Roman" w:hAnsi="Times New Roman" w:cs="Times New Roman"/>
          <w:sz w:val="24"/>
          <w:szCs w:val="24"/>
          <w:lang w:val="en-US" w:eastAsia="en-GB"/>
        </w:rPr>
        <w:t>mobilises</w:t>
      </w:r>
      <w:proofErr w:type="spellEnd"/>
      <w:r w:rsidRPr="00DB6BC5">
        <w:rPr>
          <w:rFonts w:ascii="Times New Roman" w:eastAsia="Times New Roman" w:hAnsi="Times New Roman" w:cs="Times New Roman"/>
          <w:sz w:val="24"/>
          <w:szCs w:val="24"/>
          <w:lang w:val="en-US" w:eastAsia="en-GB"/>
        </w:rPr>
        <w:t xml:space="preserve"> citizens for active participation in issues related to the rule of law and good governance and affects policies and decision making processes at a national and regional level.</w:t>
      </w:r>
    </w:p>
    <w:p w14:paraId="3553661F" w14:textId="77777777" w:rsidR="00A77701" w:rsidRPr="00DB6BC5" w:rsidRDefault="00A77701" w:rsidP="00DB6BC5">
      <w:pPr>
        <w:pStyle w:val="ListParagraph"/>
        <w:numPr>
          <w:ilvl w:val="0"/>
          <w:numId w:val="23"/>
        </w:numPr>
        <w:spacing w:after="0"/>
        <w:jc w:val="both"/>
        <w:rPr>
          <w:rFonts w:ascii="Times New Roman" w:eastAsia="Times New Roman" w:hAnsi="Times New Roman" w:cs="Times New Roman"/>
          <w:sz w:val="24"/>
          <w:szCs w:val="24"/>
          <w:lang w:val="en-US" w:eastAsia="en-GB"/>
        </w:rPr>
      </w:pPr>
      <w:r w:rsidRPr="00DB6BC5">
        <w:rPr>
          <w:rFonts w:ascii="Times New Roman" w:eastAsia="Times New Roman" w:hAnsi="Times New Roman" w:cs="Times New Roman"/>
          <w:sz w:val="24"/>
          <w:szCs w:val="24"/>
          <w:lang w:val="en-US" w:eastAsia="en-GB"/>
        </w:rPr>
        <w:t xml:space="preserve">Strengthen mechanisms for dialogue between civic </w:t>
      </w:r>
      <w:proofErr w:type="spellStart"/>
      <w:r w:rsidRPr="00DB6BC5">
        <w:rPr>
          <w:rFonts w:ascii="Times New Roman" w:eastAsia="Times New Roman" w:hAnsi="Times New Roman" w:cs="Times New Roman"/>
          <w:sz w:val="24"/>
          <w:szCs w:val="24"/>
          <w:lang w:val="en-US" w:eastAsia="en-GB"/>
        </w:rPr>
        <w:t>organisations</w:t>
      </w:r>
      <w:proofErr w:type="spellEnd"/>
      <w:r w:rsidRPr="00DB6BC5">
        <w:rPr>
          <w:rFonts w:ascii="Times New Roman" w:eastAsia="Times New Roman" w:hAnsi="Times New Roman" w:cs="Times New Roman"/>
          <w:sz w:val="24"/>
          <w:szCs w:val="24"/>
          <w:lang w:val="en-US" w:eastAsia="en-GB"/>
        </w:rPr>
        <w:t xml:space="preserve"> and government institutions and influence good governance and public administration reforms.</w:t>
      </w:r>
    </w:p>
    <w:p w14:paraId="5B8189CD" w14:textId="77777777" w:rsidR="00A77701" w:rsidRPr="00DB6BC5" w:rsidRDefault="00A77701" w:rsidP="00DB6BC5">
      <w:pPr>
        <w:pStyle w:val="ListParagraph"/>
        <w:numPr>
          <w:ilvl w:val="0"/>
          <w:numId w:val="23"/>
        </w:numPr>
        <w:spacing w:after="0"/>
        <w:jc w:val="both"/>
        <w:rPr>
          <w:rFonts w:ascii="Times New Roman" w:eastAsia="Times New Roman" w:hAnsi="Times New Roman" w:cs="Times New Roman"/>
          <w:sz w:val="24"/>
          <w:szCs w:val="24"/>
          <w:lang w:val="en-US" w:eastAsia="en-GB"/>
        </w:rPr>
      </w:pPr>
      <w:r w:rsidRPr="00DB6BC5">
        <w:rPr>
          <w:rFonts w:ascii="Times New Roman" w:eastAsia="Times New Roman" w:hAnsi="Times New Roman" w:cs="Times New Roman"/>
          <w:sz w:val="24"/>
          <w:szCs w:val="24"/>
          <w:lang w:val="en-US" w:eastAsia="en-GB"/>
        </w:rPr>
        <w:t xml:space="preserve">Stimulate civic and media </w:t>
      </w:r>
      <w:proofErr w:type="spellStart"/>
      <w:r w:rsidRPr="00DB6BC5">
        <w:rPr>
          <w:rFonts w:ascii="Times New Roman" w:eastAsia="Times New Roman" w:hAnsi="Times New Roman" w:cs="Times New Roman"/>
          <w:sz w:val="24"/>
          <w:szCs w:val="24"/>
          <w:lang w:val="en-US" w:eastAsia="en-GB"/>
        </w:rPr>
        <w:t>organisation</w:t>
      </w:r>
      <w:proofErr w:type="spellEnd"/>
      <w:r w:rsidRPr="00DB6BC5">
        <w:rPr>
          <w:rFonts w:ascii="Times New Roman" w:eastAsia="Times New Roman" w:hAnsi="Times New Roman" w:cs="Times New Roman"/>
          <w:sz w:val="24"/>
          <w:szCs w:val="24"/>
          <w:lang w:val="en-US" w:eastAsia="en-GB"/>
        </w:rPr>
        <w:t xml:space="preserve"> networking at local and EU level, allowing the exchange of know-how, skills and connections, as well as increase the influence of their representation efforts.</w:t>
      </w:r>
    </w:p>
    <w:p w14:paraId="139075CF" w14:textId="77777777" w:rsidR="00A77701" w:rsidRPr="00DB6BC5" w:rsidRDefault="00A77701" w:rsidP="00DB6BC5">
      <w:pPr>
        <w:spacing w:after="0"/>
        <w:jc w:val="both"/>
        <w:rPr>
          <w:rFonts w:ascii="Times New Roman" w:eastAsia="Times New Roman" w:hAnsi="Times New Roman" w:cs="Times New Roman"/>
          <w:sz w:val="24"/>
          <w:szCs w:val="24"/>
          <w:lang w:val="en-US" w:eastAsia="en-GB"/>
        </w:rPr>
      </w:pPr>
    </w:p>
    <w:p w14:paraId="2804551A" w14:textId="77777777" w:rsidR="00A77701" w:rsidRPr="00DB6BC5" w:rsidRDefault="00A77701" w:rsidP="00DB6BC5">
      <w:pPr>
        <w:spacing w:after="0"/>
        <w:jc w:val="both"/>
        <w:rPr>
          <w:rFonts w:ascii="Times New Roman" w:eastAsia="Times New Roman" w:hAnsi="Times New Roman" w:cs="Times New Roman"/>
          <w:sz w:val="24"/>
          <w:szCs w:val="24"/>
          <w:lang w:val="en-GB" w:eastAsia="en-GB"/>
        </w:rPr>
      </w:pPr>
      <w:proofErr w:type="spellStart"/>
      <w:r w:rsidRPr="00DB6BC5">
        <w:rPr>
          <w:rFonts w:ascii="Times New Roman" w:eastAsia="Times New Roman" w:hAnsi="Times New Roman" w:cs="Times New Roman"/>
          <w:sz w:val="24"/>
          <w:szCs w:val="24"/>
          <w:lang w:val="en-GB" w:eastAsia="en-GB"/>
        </w:rPr>
        <w:t>ActionSEE</w:t>
      </w:r>
      <w:proofErr w:type="spellEnd"/>
      <w:r w:rsidRPr="00DB6BC5">
        <w:rPr>
          <w:rFonts w:ascii="Times New Roman" w:eastAsia="Times New Roman" w:hAnsi="Times New Roman" w:cs="Times New Roman"/>
          <w:sz w:val="24"/>
          <w:szCs w:val="24"/>
          <w:lang w:val="en-GB" w:eastAsia="en-GB"/>
        </w:rPr>
        <w:t xml:space="preserve"> is a network of civil society organizations that jointly work on promoting and</w:t>
      </w:r>
      <w:r w:rsidRPr="00DB6BC5">
        <w:rPr>
          <w:rFonts w:ascii="Times New Roman" w:eastAsia="Times New Roman" w:hAnsi="Times New Roman" w:cs="Times New Roman"/>
          <w:sz w:val="24"/>
          <w:szCs w:val="24"/>
          <w:lang w:eastAsia="en-GB"/>
        </w:rPr>
        <w:t xml:space="preserve"> </w:t>
      </w:r>
      <w:r w:rsidRPr="00DB6BC5">
        <w:rPr>
          <w:rFonts w:ascii="Times New Roman" w:eastAsia="Times New Roman" w:hAnsi="Times New Roman" w:cs="Times New Roman"/>
          <w:sz w:val="24"/>
          <w:szCs w:val="24"/>
          <w:lang w:val="en-GB" w:eastAsia="en-GB"/>
        </w:rPr>
        <w:t>ensuring government accountability and transparency in the region of South-East Europe,</w:t>
      </w:r>
      <w:r w:rsidRPr="00DB6BC5">
        <w:rPr>
          <w:rFonts w:ascii="Times New Roman" w:eastAsia="Times New Roman" w:hAnsi="Times New Roman" w:cs="Times New Roman"/>
          <w:sz w:val="24"/>
          <w:szCs w:val="24"/>
          <w:lang w:eastAsia="en-GB"/>
        </w:rPr>
        <w:t xml:space="preserve"> </w:t>
      </w:r>
      <w:r w:rsidRPr="00DB6BC5">
        <w:rPr>
          <w:rFonts w:ascii="Times New Roman" w:eastAsia="Times New Roman" w:hAnsi="Times New Roman" w:cs="Times New Roman"/>
          <w:sz w:val="24"/>
          <w:szCs w:val="24"/>
          <w:lang w:val="en-GB" w:eastAsia="en-GB"/>
        </w:rPr>
        <w:t>raising the potential for civic activism and civic participation, promoting and protecting</w:t>
      </w:r>
      <w:r w:rsidRPr="00DB6BC5">
        <w:rPr>
          <w:rFonts w:ascii="Times New Roman" w:eastAsia="Times New Roman" w:hAnsi="Times New Roman" w:cs="Times New Roman"/>
          <w:sz w:val="24"/>
          <w:szCs w:val="24"/>
          <w:lang w:eastAsia="en-GB"/>
        </w:rPr>
        <w:t xml:space="preserve"> </w:t>
      </w:r>
      <w:r w:rsidRPr="00DB6BC5">
        <w:rPr>
          <w:rFonts w:ascii="Times New Roman" w:eastAsia="Times New Roman" w:hAnsi="Times New Roman" w:cs="Times New Roman"/>
          <w:sz w:val="24"/>
          <w:szCs w:val="24"/>
          <w:lang w:val="en-GB" w:eastAsia="en-GB"/>
        </w:rPr>
        <w:t>human rights and freedoms on the internet and building capacities and interest within</w:t>
      </w:r>
      <w:r w:rsidRPr="00DB6BC5">
        <w:rPr>
          <w:rFonts w:ascii="Times New Roman" w:eastAsia="Times New Roman" w:hAnsi="Times New Roman" w:cs="Times New Roman"/>
          <w:sz w:val="24"/>
          <w:szCs w:val="24"/>
          <w:lang w:eastAsia="en-GB"/>
        </w:rPr>
        <w:t xml:space="preserve"> </w:t>
      </w:r>
      <w:r w:rsidRPr="00DB6BC5">
        <w:rPr>
          <w:rFonts w:ascii="Times New Roman" w:eastAsia="Times New Roman" w:hAnsi="Times New Roman" w:cs="Times New Roman"/>
          <w:sz w:val="24"/>
          <w:szCs w:val="24"/>
          <w:lang w:val="en-GB" w:eastAsia="en-GB"/>
        </w:rPr>
        <w:t>civil society organizations and individuals in the region in using technology in democracy</w:t>
      </w:r>
      <w:r w:rsidRPr="00DB6BC5">
        <w:rPr>
          <w:rFonts w:ascii="Times New Roman" w:eastAsia="Times New Roman" w:hAnsi="Times New Roman" w:cs="Times New Roman"/>
          <w:sz w:val="24"/>
          <w:szCs w:val="24"/>
          <w:lang w:eastAsia="en-GB"/>
        </w:rPr>
        <w:t xml:space="preserve"> </w:t>
      </w:r>
      <w:r w:rsidRPr="00DB6BC5">
        <w:rPr>
          <w:rFonts w:ascii="Times New Roman" w:eastAsia="Times New Roman" w:hAnsi="Times New Roman" w:cs="Times New Roman"/>
          <w:sz w:val="24"/>
          <w:szCs w:val="24"/>
          <w:lang w:val="en-GB" w:eastAsia="en-GB"/>
        </w:rPr>
        <w:t>promotion work.</w:t>
      </w:r>
    </w:p>
    <w:p w14:paraId="49418430" w14:textId="77777777" w:rsidR="00A77701" w:rsidRPr="00DB6BC5" w:rsidRDefault="00A77701" w:rsidP="00DB6BC5">
      <w:pPr>
        <w:spacing w:after="0"/>
        <w:jc w:val="both"/>
        <w:rPr>
          <w:rFonts w:ascii="Times New Roman" w:eastAsia="Times New Roman" w:hAnsi="Times New Roman" w:cs="Times New Roman"/>
          <w:sz w:val="24"/>
          <w:szCs w:val="24"/>
          <w:lang w:val="en-US" w:eastAsia="en-GB"/>
        </w:rPr>
      </w:pPr>
    </w:p>
    <w:p w14:paraId="7178F2B0" w14:textId="77777777" w:rsidR="00A77701" w:rsidRPr="00DB6BC5" w:rsidRDefault="00A77701" w:rsidP="00DB6BC5">
      <w:pPr>
        <w:spacing w:after="0"/>
        <w:jc w:val="both"/>
        <w:rPr>
          <w:rFonts w:ascii="Times New Roman" w:eastAsia="Times New Roman" w:hAnsi="Times New Roman" w:cs="Times New Roman"/>
          <w:sz w:val="24"/>
          <w:szCs w:val="24"/>
          <w:lang w:val="en-US" w:eastAsia="en-GB"/>
        </w:rPr>
      </w:pPr>
      <w:r w:rsidRPr="00DB6BC5">
        <w:rPr>
          <w:rFonts w:ascii="Times New Roman" w:eastAsia="Times New Roman" w:hAnsi="Times New Roman" w:cs="Times New Roman"/>
          <w:sz w:val="24"/>
          <w:szCs w:val="24"/>
          <w:lang w:val="en-US" w:eastAsia="en-GB"/>
        </w:rPr>
        <w:t xml:space="preserve">ACTION SEE project, funded by the European Union, is implemented by Metamorphosis Foundation, Westminster Foundation for Democracy, CRTA – Center for Research, Transparency and Accountability, Citizens Association Why not?, Center for Democratic Transition, Open Data Kosovo (ODK) and </w:t>
      </w:r>
      <w:proofErr w:type="spellStart"/>
      <w:r w:rsidRPr="00DB6BC5">
        <w:rPr>
          <w:rFonts w:ascii="Times New Roman" w:eastAsia="Times New Roman" w:hAnsi="Times New Roman" w:cs="Times New Roman"/>
          <w:sz w:val="24"/>
          <w:szCs w:val="24"/>
          <w:lang w:val="en-US" w:eastAsia="en-GB"/>
        </w:rPr>
        <w:t>Levizja</w:t>
      </w:r>
      <w:proofErr w:type="spellEnd"/>
      <w:r w:rsidRPr="00DB6BC5">
        <w:rPr>
          <w:rFonts w:ascii="Times New Roman" w:eastAsia="Times New Roman" w:hAnsi="Times New Roman" w:cs="Times New Roman"/>
          <w:sz w:val="24"/>
          <w:szCs w:val="24"/>
          <w:lang w:val="en-US" w:eastAsia="en-GB"/>
        </w:rPr>
        <w:t xml:space="preserve"> </w:t>
      </w:r>
      <w:proofErr w:type="spellStart"/>
      <w:r w:rsidRPr="00DB6BC5">
        <w:rPr>
          <w:rFonts w:ascii="Times New Roman" w:eastAsia="Times New Roman" w:hAnsi="Times New Roman" w:cs="Times New Roman"/>
          <w:sz w:val="24"/>
          <w:szCs w:val="24"/>
          <w:lang w:val="en-US" w:eastAsia="en-GB"/>
        </w:rPr>
        <w:t>Mjaft</w:t>
      </w:r>
      <w:proofErr w:type="spellEnd"/>
      <w:r w:rsidRPr="00DB6BC5">
        <w:rPr>
          <w:rFonts w:ascii="Times New Roman" w:eastAsia="Times New Roman" w:hAnsi="Times New Roman" w:cs="Times New Roman"/>
          <w:sz w:val="24"/>
          <w:szCs w:val="24"/>
          <w:lang w:val="en-US" w:eastAsia="en-GB"/>
        </w:rPr>
        <w:t>!.</w:t>
      </w:r>
    </w:p>
    <w:p w14:paraId="54F7C331" w14:textId="4007FF20" w:rsidR="00653E4D" w:rsidRPr="00DB6BC5" w:rsidRDefault="00653E4D" w:rsidP="00DB6BC5">
      <w:pPr>
        <w:spacing w:after="0"/>
        <w:jc w:val="both"/>
        <w:rPr>
          <w:rFonts w:ascii="Times New Roman" w:eastAsia="Times New Roman" w:hAnsi="Times New Roman" w:cs="Times New Roman"/>
          <w:color w:val="4F81BD" w:themeColor="accent1"/>
          <w:sz w:val="24"/>
          <w:szCs w:val="24"/>
          <w:lang w:val="en-GB" w:eastAsia="en-GB"/>
        </w:rPr>
      </w:pPr>
    </w:p>
    <w:p w14:paraId="0DD33DAE" w14:textId="176569D7" w:rsidR="00653E4D" w:rsidRDefault="00CD3ADF" w:rsidP="00DB6BC5">
      <w:pPr>
        <w:pStyle w:val="ListParagraph"/>
        <w:numPr>
          <w:ilvl w:val="0"/>
          <w:numId w:val="1"/>
        </w:numPr>
        <w:spacing w:after="0"/>
        <w:jc w:val="both"/>
        <w:rPr>
          <w:rFonts w:ascii="Times New Roman" w:eastAsia="Times New Roman" w:hAnsi="Times New Roman" w:cs="Times New Roman"/>
          <w:b/>
          <w:color w:val="000000"/>
          <w:sz w:val="24"/>
          <w:szCs w:val="24"/>
          <w:lang w:val="en-GB" w:eastAsia="en-GB"/>
        </w:rPr>
      </w:pPr>
      <w:r>
        <w:rPr>
          <w:rFonts w:ascii="Times New Roman" w:eastAsia="Times New Roman" w:hAnsi="Times New Roman" w:cs="Times New Roman"/>
          <w:b/>
          <w:color w:val="000000"/>
          <w:sz w:val="24"/>
          <w:szCs w:val="24"/>
          <w:lang w:val="en-GB" w:eastAsia="en-GB"/>
        </w:rPr>
        <w:t>READ MORE</w:t>
      </w:r>
    </w:p>
    <w:p w14:paraId="4D936819" w14:textId="77777777" w:rsidR="00DB6BC5" w:rsidRPr="00DB6BC5" w:rsidRDefault="00DB6BC5" w:rsidP="00DB6BC5">
      <w:pPr>
        <w:pStyle w:val="ListParagraph"/>
        <w:spacing w:after="0"/>
        <w:jc w:val="both"/>
        <w:rPr>
          <w:rFonts w:ascii="Times New Roman" w:eastAsia="Times New Roman" w:hAnsi="Times New Roman" w:cs="Times New Roman"/>
          <w:b/>
          <w:color w:val="000000"/>
          <w:sz w:val="24"/>
          <w:szCs w:val="24"/>
          <w:lang w:val="en-GB" w:eastAsia="en-GB"/>
        </w:rPr>
      </w:pPr>
    </w:p>
    <w:p w14:paraId="0C1EBD31" w14:textId="46C5F7A2" w:rsidR="00653E4D" w:rsidRPr="00DB6BC5" w:rsidRDefault="004B39F7" w:rsidP="00DB6BC5">
      <w:pPr>
        <w:spacing w:after="0"/>
        <w:jc w:val="both"/>
        <w:rPr>
          <w:rFonts w:ascii="Times New Roman" w:eastAsia="Times New Roman" w:hAnsi="Times New Roman" w:cs="Times New Roman"/>
          <w:color w:val="000000"/>
          <w:sz w:val="24"/>
          <w:szCs w:val="24"/>
          <w:lang w:val="en-GB" w:eastAsia="en-GB"/>
        </w:rPr>
      </w:pPr>
      <w:proofErr w:type="spellStart"/>
      <w:r w:rsidRPr="00DB6BC5">
        <w:rPr>
          <w:rFonts w:ascii="Times New Roman" w:eastAsia="Times New Roman" w:hAnsi="Times New Roman" w:cs="Times New Roman"/>
          <w:color w:val="000000"/>
          <w:sz w:val="24"/>
          <w:szCs w:val="24"/>
          <w:lang w:val="en-GB" w:eastAsia="en-GB"/>
        </w:rPr>
        <w:t>Otvorenost</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institucija</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izvršne</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vlasti</w:t>
      </w:r>
      <w:proofErr w:type="spellEnd"/>
      <w:r w:rsidRPr="00DB6BC5">
        <w:rPr>
          <w:rFonts w:ascii="Times New Roman" w:eastAsia="Times New Roman" w:hAnsi="Times New Roman" w:cs="Times New Roman"/>
          <w:color w:val="000000"/>
          <w:sz w:val="24"/>
          <w:szCs w:val="24"/>
          <w:lang w:val="en-GB" w:eastAsia="en-GB"/>
        </w:rPr>
        <w:t xml:space="preserve"> u </w:t>
      </w:r>
      <w:proofErr w:type="spellStart"/>
      <w:r w:rsidRPr="00DB6BC5">
        <w:rPr>
          <w:rFonts w:ascii="Times New Roman" w:eastAsia="Times New Roman" w:hAnsi="Times New Roman" w:cs="Times New Roman"/>
          <w:color w:val="000000"/>
          <w:sz w:val="24"/>
          <w:szCs w:val="24"/>
          <w:lang w:val="en-GB" w:eastAsia="en-GB"/>
        </w:rPr>
        <w:t>regionu</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i</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Crnoj</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Gori</w:t>
      </w:r>
      <w:proofErr w:type="spellEnd"/>
    </w:p>
    <w:p w14:paraId="1A8DA37F" w14:textId="7BE931A5" w:rsidR="004B39F7" w:rsidRPr="00DB6BC5" w:rsidRDefault="006B4362" w:rsidP="00DB6BC5">
      <w:pPr>
        <w:spacing w:after="0"/>
        <w:jc w:val="both"/>
        <w:rPr>
          <w:rFonts w:ascii="Times New Roman" w:eastAsia="Times New Roman" w:hAnsi="Times New Roman" w:cs="Times New Roman"/>
          <w:color w:val="000000"/>
          <w:sz w:val="24"/>
          <w:szCs w:val="24"/>
          <w:lang w:val="en-GB" w:eastAsia="en-GB"/>
        </w:rPr>
      </w:pPr>
      <w:hyperlink r:id="rId8" w:history="1">
        <w:r w:rsidR="004B39F7" w:rsidRPr="00DB6BC5">
          <w:rPr>
            <w:rStyle w:val="Hyperlink"/>
            <w:rFonts w:ascii="Times New Roman" w:eastAsia="Times New Roman" w:hAnsi="Times New Roman" w:cs="Times New Roman"/>
            <w:sz w:val="24"/>
            <w:szCs w:val="24"/>
            <w:lang w:val="en-GB" w:eastAsia="en-GB"/>
          </w:rPr>
          <w:t>https://www.cdtmn.org/dobroupravljanje/du-analize/otvorenost-izvrsnih-vlasti-u-cg-i-regionu-2018-predlog-prakticne-politike/</w:t>
        </w:r>
      </w:hyperlink>
      <w:r w:rsidR="004B39F7" w:rsidRPr="00DB6BC5">
        <w:rPr>
          <w:rFonts w:ascii="Times New Roman" w:eastAsia="Times New Roman" w:hAnsi="Times New Roman" w:cs="Times New Roman"/>
          <w:color w:val="000000"/>
          <w:sz w:val="24"/>
          <w:szCs w:val="24"/>
          <w:lang w:val="en-GB" w:eastAsia="en-GB"/>
        </w:rPr>
        <w:t xml:space="preserve"> </w:t>
      </w:r>
    </w:p>
    <w:p w14:paraId="33B9DA0B" w14:textId="358533FD" w:rsidR="004B39F7" w:rsidRPr="00DB6BC5" w:rsidRDefault="004B39F7" w:rsidP="00DB6BC5">
      <w:pPr>
        <w:spacing w:after="0"/>
        <w:jc w:val="both"/>
        <w:rPr>
          <w:rFonts w:ascii="Times New Roman" w:eastAsia="Times New Roman" w:hAnsi="Times New Roman" w:cs="Times New Roman"/>
          <w:color w:val="000000"/>
          <w:sz w:val="24"/>
          <w:szCs w:val="24"/>
          <w:lang w:val="en-GB" w:eastAsia="en-GB"/>
        </w:rPr>
      </w:pPr>
      <w:proofErr w:type="spellStart"/>
      <w:r w:rsidRPr="00DB6BC5">
        <w:rPr>
          <w:rFonts w:ascii="Times New Roman" w:eastAsia="Times New Roman" w:hAnsi="Times New Roman" w:cs="Times New Roman"/>
          <w:color w:val="000000"/>
          <w:sz w:val="24"/>
          <w:szCs w:val="24"/>
          <w:lang w:val="en-GB" w:eastAsia="en-GB"/>
        </w:rPr>
        <w:t>Otvorenost</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parlamenata</w:t>
      </w:r>
      <w:proofErr w:type="spellEnd"/>
      <w:r w:rsidRPr="00DB6BC5">
        <w:rPr>
          <w:rFonts w:ascii="Times New Roman" w:eastAsia="Times New Roman" w:hAnsi="Times New Roman" w:cs="Times New Roman"/>
          <w:color w:val="000000"/>
          <w:sz w:val="24"/>
          <w:szCs w:val="24"/>
          <w:lang w:val="en-GB" w:eastAsia="en-GB"/>
        </w:rPr>
        <w:t xml:space="preserve"> u </w:t>
      </w:r>
      <w:proofErr w:type="spellStart"/>
      <w:r w:rsidRPr="00DB6BC5">
        <w:rPr>
          <w:rFonts w:ascii="Times New Roman" w:eastAsia="Times New Roman" w:hAnsi="Times New Roman" w:cs="Times New Roman"/>
          <w:color w:val="000000"/>
          <w:sz w:val="24"/>
          <w:szCs w:val="24"/>
          <w:lang w:val="en-GB" w:eastAsia="en-GB"/>
        </w:rPr>
        <w:t>reigonu</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i</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Crnoj</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Gori</w:t>
      </w:r>
      <w:proofErr w:type="spellEnd"/>
    </w:p>
    <w:p w14:paraId="37C5ACDC" w14:textId="38C2734A" w:rsidR="004B39F7" w:rsidRPr="00DB6BC5" w:rsidRDefault="006B4362" w:rsidP="00DB6BC5">
      <w:pPr>
        <w:spacing w:after="0"/>
        <w:jc w:val="both"/>
        <w:rPr>
          <w:rFonts w:ascii="Times New Roman" w:eastAsia="Times New Roman" w:hAnsi="Times New Roman" w:cs="Times New Roman"/>
          <w:color w:val="000000"/>
          <w:sz w:val="24"/>
          <w:szCs w:val="24"/>
          <w:lang w:val="en-GB" w:eastAsia="en-GB"/>
        </w:rPr>
      </w:pPr>
      <w:hyperlink r:id="rId9" w:history="1">
        <w:r w:rsidR="004B39F7" w:rsidRPr="00DB6BC5">
          <w:rPr>
            <w:rStyle w:val="Hyperlink"/>
            <w:rFonts w:ascii="Times New Roman" w:eastAsia="Times New Roman" w:hAnsi="Times New Roman" w:cs="Times New Roman"/>
            <w:sz w:val="24"/>
            <w:szCs w:val="24"/>
            <w:lang w:val="en-GB" w:eastAsia="en-GB"/>
          </w:rPr>
          <w:t>https://www.cdtmn.org/dobroupravljanje/du-analize/otvorenost-parlamenata-u-crnoj-gori/</w:t>
        </w:r>
      </w:hyperlink>
      <w:r w:rsidR="004B39F7" w:rsidRPr="00DB6BC5">
        <w:rPr>
          <w:rFonts w:ascii="Times New Roman" w:eastAsia="Times New Roman" w:hAnsi="Times New Roman" w:cs="Times New Roman"/>
          <w:color w:val="000000"/>
          <w:sz w:val="24"/>
          <w:szCs w:val="24"/>
          <w:lang w:val="en-GB" w:eastAsia="en-GB"/>
        </w:rPr>
        <w:t xml:space="preserve"> </w:t>
      </w:r>
    </w:p>
    <w:p w14:paraId="52283000" w14:textId="623FF1C1" w:rsidR="004B39F7" w:rsidRPr="00DB6BC5" w:rsidRDefault="004B39F7" w:rsidP="00DB6BC5">
      <w:pPr>
        <w:spacing w:after="0"/>
        <w:jc w:val="both"/>
        <w:rPr>
          <w:rFonts w:ascii="Times New Roman" w:eastAsia="Times New Roman" w:hAnsi="Times New Roman" w:cs="Times New Roman"/>
          <w:color w:val="000000"/>
          <w:sz w:val="24"/>
          <w:szCs w:val="24"/>
          <w:lang w:val="en-GB" w:eastAsia="en-GB"/>
        </w:rPr>
      </w:pPr>
      <w:proofErr w:type="spellStart"/>
      <w:r w:rsidRPr="00DB6BC5">
        <w:rPr>
          <w:rFonts w:ascii="Times New Roman" w:eastAsia="Times New Roman" w:hAnsi="Times New Roman" w:cs="Times New Roman"/>
          <w:color w:val="000000"/>
          <w:sz w:val="24"/>
          <w:szCs w:val="24"/>
          <w:lang w:val="en-GB" w:eastAsia="en-GB"/>
        </w:rPr>
        <w:t>Analiza</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otvorenosti</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lokalnih</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samouprava</w:t>
      </w:r>
      <w:proofErr w:type="spellEnd"/>
      <w:r w:rsidRPr="00DB6BC5">
        <w:rPr>
          <w:rFonts w:ascii="Times New Roman" w:eastAsia="Times New Roman" w:hAnsi="Times New Roman" w:cs="Times New Roman"/>
          <w:color w:val="000000"/>
          <w:sz w:val="24"/>
          <w:szCs w:val="24"/>
          <w:lang w:val="en-GB" w:eastAsia="en-GB"/>
        </w:rPr>
        <w:t xml:space="preserve"> u </w:t>
      </w:r>
      <w:proofErr w:type="spellStart"/>
      <w:r w:rsidRPr="00DB6BC5">
        <w:rPr>
          <w:rFonts w:ascii="Times New Roman" w:eastAsia="Times New Roman" w:hAnsi="Times New Roman" w:cs="Times New Roman"/>
          <w:color w:val="000000"/>
          <w:sz w:val="24"/>
          <w:szCs w:val="24"/>
          <w:lang w:val="en-GB" w:eastAsia="en-GB"/>
        </w:rPr>
        <w:t>regionu</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i</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Crnoj</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Gori</w:t>
      </w:r>
      <w:proofErr w:type="spellEnd"/>
    </w:p>
    <w:p w14:paraId="56003D63" w14:textId="77777777" w:rsidR="004B39F7" w:rsidRPr="00DB6BC5" w:rsidRDefault="004B39F7" w:rsidP="00DB6BC5">
      <w:pPr>
        <w:spacing w:after="0"/>
        <w:jc w:val="both"/>
        <w:rPr>
          <w:rFonts w:ascii="Times New Roman" w:eastAsia="Times New Roman" w:hAnsi="Times New Roman" w:cs="Times New Roman"/>
          <w:color w:val="000000"/>
          <w:sz w:val="24"/>
          <w:szCs w:val="24"/>
          <w:lang w:val="en-GB" w:eastAsia="en-GB"/>
        </w:rPr>
      </w:pPr>
    </w:p>
    <w:p w14:paraId="4A2A5D71" w14:textId="07DB428D" w:rsidR="004B39F7" w:rsidRPr="00DB6BC5" w:rsidRDefault="004B39F7" w:rsidP="00DB6BC5">
      <w:pPr>
        <w:spacing w:after="0"/>
        <w:jc w:val="both"/>
        <w:rPr>
          <w:rFonts w:ascii="Times New Roman" w:eastAsia="Times New Roman" w:hAnsi="Times New Roman" w:cs="Times New Roman"/>
          <w:color w:val="000000"/>
          <w:sz w:val="24"/>
          <w:szCs w:val="24"/>
          <w:lang w:val="en-GB" w:eastAsia="en-GB"/>
        </w:rPr>
      </w:pPr>
      <w:proofErr w:type="spellStart"/>
      <w:r w:rsidRPr="00DB6BC5">
        <w:rPr>
          <w:rFonts w:ascii="Times New Roman" w:eastAsia="Times New Roman" w:hAnsi="Times New Roman" w:cs="Times New Roman"/>
          <w:color w:val="000000"/>
          <w:sz w:val="24"/>
          <w:szCs w:val="24"/>
          <w:lang w:val="en-GB" w:eastAsia="en-GB"/>
        </w:rPr>
        <w:t>Otvorenost</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pravosudnih</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organa</w:t>
      </w:r>
      <w:proofErr w:type="spellEnd"/>
      <w:r w:rsidRPr="00DB6BC5">
        <w:rPr>
          <w:rFonts w:ascii="Times New Roman" w:eastAsia="Times New Roman" w:hAnsi="Times New Roman" w:cs="Times New Roman"/>
          <w:color w:val="000000"/>
          <w:sz w:val="24"/>
          <w:szCs w:val="24"/>
          <w:lang w:val="en-GB" w:eastAsia="en-GB"/>
        </w:rPr>
        <w:t xml:space="preserve"> u </w:t>
      </w:r>
      <w:proofErr w:type="spellStart"/>
      <w:r w:rsidRPr="00DB6BC5">
        <w:rPr>
          <w:rFonts w:ascii="Times New Roman" w:eastAsia="Times New Roman" w:hAnsi="Times New Roman" w:cs="Times New Roman"/>
          <w:color w:val="000000"/>
          <w:sz w:val="24"/>
          <w:szCs w:val="24"/>
          <w:lang w:val="en-GB" w:eastAsia="en-GB"/>
        </w:rPr>
        <w:t>regionu</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i</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Crnoj</w:t>
      </w:r>
      <w:proofErr w:type="spellEnd"/>
      <w:r w:rsidRPr="00DB6BC5">
        <w:rPr>
          <w:rFonts w:ascii="Times New Roman" w:eastAsia="Times New Roman" w:hAnsi="Times New Roman" w:cs="Times New Roman"/>
          <w:color w:val="000000"/>
          <w:sz w:val="24"/>
          <w:szCs w:val="24"/>
          <w:lang w:val="en-GB" w:eastAsia="en-GB"/>
        </w:rPr>
        <w:t xml:space="preserve"> </w:t>
      </w:r>
      <w:proofErr w:type="spellStart"/>
      <w:r w:rsidRPr="00DB6BC5">
        <w:rPr>
          <w:rFonts w:ascii="Times New Roman" w:eastAsia="Times New Roman" w:hAnsi="Times New Roman" w:cs="Times New Roman"/>
          <w:color w:val="000000"/>
          <w:sz w:val="24"/>
          <w:szCs w:val="24"/>
          <w:lang w:val="en-GB" w:eastAsia="en-GB"/>
        </w:rPr>
        <w:t>Gori</w:t>
      </w:r>
      <w:proofErr w:type="spellEnd"/>
    </w:p>
    <w:p w14:paraId="64B08D9B" w14:textId="68EE5145" w:rsidR="005418BA" w:rsidRPr="00DB6BC5" w:rsidRDefault="006B4362" w:rsidP="00DB6BC5">
      <w:pPr>
        <w:spacing w:after="0"/>
        <w:jc w:val="both"/>
        <w:rPr>
          <w:rFonts w:ascii="Times New Roman" w:eastAsia="Times New Roman" w:hAnsi="Times New Roman" w:cs="Times New Roman"/>
          <w:color w:val="000000"/>
          <w:sz w:val="24"/>
          <w:szCs w:val="24"/>
          <w:lang w:val="en-GB" w:eastAsia="en-GB"/>
        </w:rPr>
      </w:pPr>
      <w:hyperlink r:id="rId10" w:history="1">
        <w:r w:rsidR="00DE070A" w:rsidRPr="00DB6BC5">
          <w:rPr>
            <w:rStyle w:val="Hyperlink"/>
            <w:rFonts w:ascii="Times New Roman" w:eastAsia="Times New Roman" w:hAnsi="Times New Roman" w:cs="Times New Roman"/>
            <w:sz w:val="24"/>
            <w:szCs w:val="24"/>
            <w:lang w:val="en-GB" w:eastAsia="en-GB"/>
          </w:rPr>
          <w:t>https://www.cdtmn.org/dobroupravljanje/du-analize/otvorenost-pravosuda-u-regionu-i-cg/</w:t>
        </w:r>
      </w:hyperlink>
      <w:r w:rsidR="00DE070A" w:rsidRPr="00DB6BC5">
        <w:rPr>
          <w:rFonts w:ascii="Times New Roman" w:eastAsia="Times New Roman" w:hAnsi="Times New Roman" w:cs="Times New Roman"/>
          <w:color w:val="000000"/>
          <w:sz w:val="24"/>
          <w:szCs w:val="24"/>
          <w:lang w:val="en-GB" w:eastAsia="en-GB"/>
        </w:rPr>
        <w:t xml:space="preserve"> </w:t>
      </w:r>
    </w:p>
    <w:p w14:paraId="3FC02744" w14:textId="0539929C" w:rsidR="005418BA" w:rsidRPr="00DB6BC5" w:rsidRDefault="00DB537A" w:rsidP="00DB6BC5">
      <w:pPr>
        <w:jc w:val="both"/>
        <w:rPr>
          <w:rFonts w:ascii="Times New Roman" w:eastAsia="Times New Roman" w:hAnsi="Times New Roman" w:cs="Times New Roman"/>
          <w:sz w:val="24"/>
          <w:szCs w:val="24"/>
          <w:lang w:val="sr-Latn-ME" w:eastAsia="en-GB"/>
        </w:rPr>
      </w:pPr>
      <w:r w:rsidRPr="00DB6BC5">
        <w:rPr>
          <w:rFonts w:ascii="Times New Roman" w:eastAsia="Times New Roman" w:hAnsi="Times New Roman" w:cs="Times New Roman"/>
          <w:sz w:val="24"/>
          <w:szCs w:val="24"/>
          <w:lang w:val="sr-Latn-ME" w:eastAsia="en-GB"/>
        </w:rPr>
        <w:t xml:space="preserve"> </w:t>
      </w:r>
    </w:p>
    <w:sectPr w:rsidR="005418BA" w:rsidRPr="00DB6BC5" w:rsidSect="00C65444">
      <w:headerReference w:type="default" r:id="rId11"/>
      <w:footerReference w:type="default" r:id="rId12"/>
      <w:pgSz w:w="11906" w:h="16838"/>
      <w:pgMar w:top="678" w:right="1274" w:bottom="1440"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2A3F4" w14:textId="77777777" w:rsidR="006B4362" w:rsidRDefault="006B4362">
      <w:pPr>
        <w:spacing w:after="0" w:line="240" w:lineRule="auto"/>
      </w:pPr>
      <w:r>
        <w:separator/>
      </w:r>
    </w:p>
  </w:endnote>
  <w:endnote w:type="continuationSeparator" w:id="0">
    <w:p w14:paraId="742AADC7" w14:textId="77777777" w:rsidR="006B4362" w:rsidRDefault="006B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40A46" w14:textId="77777777" w:rsidR="0062612C" w:rsidRPr="004C6CBA" w:rsidRDefault="005928A0" w:rsidP="004C6CBA">
    <w:pPr>
      <w:pStyle w:val="Footer"/>
      <w:tabs>
        <w:tab w:val="clear" w:pos="9026"/>
      </w:tabs>
      <w:ind w:left="-567" w:right="-425"/>
      <w:rPr>
        <w:rFonts w:ascii="Tahoma" w:hAnsi="Tahoma" w:cs="Tahoma"/>
        <w:sz w:val="16"/>
        <w:szCs w:val="16"/>
        <w:lang w:val="en-US"/>
      </w:rPr>
    </w:pPr>
    <w:r>
      <w:rPr>
        <w:rFonts w:ascii="Tahoma" w:hAnsi="Tahoma" w:cs="Tahoma"/>
        <w:noProof/>
        <w:sz w:val="16"/>
        <w:szCs w:val="16"/>
        <w:lang w:val="en-US"/>
      </w:rPr>
      <w:t xml:space="preserv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14:paraId="5DB19079" w14:textId="77777777" w:rsidR="004A761A" w:rsidRDefault="004A761A" w:rsidP="004A761A">
    <w:pPr>
      <w:pStyle w:val="Footer"/>
      <w:tabs>
        <w:tab w:val="clear" w:pos="9026"/>
      </w:tabs>
      <w:ind w:left="-567" w:right="-425"/>
      <w:rPr>
        <w:rFonts w:ascii="Tahoma" w:hAnsi="Tahoma" w:cs="Tahoma"/>
        <w:sz w:val="16"/>
        <w:szCs w:val="16"/>
      </w:rPr>
    </w:pPr>
    <w:r>
      <w:rPr>
        <w:rFonts w:ascii="Tahoma" w:hAnsi="Tahoma" w:cs="Tahoma"/>
        <w:sz w:val="16"/>
        <w:szCs w:val="16"/>
      </w:rPr>
      <w:t xml:space="preserve">                                                                                                        </w:t>
    </w:r>
  </w:p>
  <w:tbl>
    <w:tblPr>
      <w:tblStyle w:val="TableGrid"/>
      <w:tblW w:w="11341" w:type="dxa"/>
      <w:tblInd w:w="-998" w:type="dxa"/>
      <w:tblBorders>
        <w:top w:val="nil"/>
        <w:left w:val="nil"/>
        <w:bottom w:val="nil"/>
        <w:right w:val="nil"/>
        <w:insideH w:val="nil"/>
        <w:insideV w:val="nil"/>
      </w:tblBorders>
      <w:tblLook w:val="04A0" w:firstRow="1" w:lastRow="0" w:firstColumn="1" w:lastColumn="0" w:noHBand="0" w:noVBand="1"/>
    </w:tblPr>
    <w:tblGrid>
      <w:gridCol w:w="8648"/>
      <w:gridCol w:w="2693"/>
    </w:tblGrid>
    <w:tr w:rsidR="004A761A" w14:paraId="0AD76AD0" w14:textId="77777777" w:rsidTr="00CC0A92">
      <w:tc>
        <w:tcPr>
          <w:tcW w:w="8648" w:type="dxa"/>
        </w:tcPr>
        <w:p w14:paraId="00006294" w14:textId="77777777" w:rsidR="004A761A" w:rsidRDefault="004A761A" w:rsidP="004A761A">
          <w:pPr>
            <w:pStyle w:val="Footer"/>
            <w:tabs>
              <w:tab w:val="clear" w:pos="9026"/>
            </w:tabs>
            <w:ind w:right="-425"/>
            <w:rPr>
              <w:rFonts w:ascii="Tahoma" w:hAnsi="Tahoma" w:cs="Tahoma"/>
              <w:sz w:val="16"/>
              <w:szCs w:val="16"/>
            </w:rPr>
          </w:pPr>
          <w:r>
            <w:rPr>
              <w:rFonts w:ascii="Tahoma" w:hAnsi="Tahoma" w:cs="Tahoma"/>
              <w:noProof/>
              <w:sz w:val="16"/>
              <w:szCs w:val="16"/>
              <w:lang w:val="en-GB" w:eastAsia="en-GB"/>
            </w:rPr>
            <w:drawing>
              <wp:inline distT="0" distB="0" distL="0" distR="0" wp14:anchorId="4622E729" wp14:editId="440AE8AF">
                <wp:extent cx="1362075" cy="336443"/>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ta-logo-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720" cy="343765"/>
                        </a:xfrm>
                        <a:prstGeom prst="rect">
                          <a:avLst/>
                        </a:prstGeom>
                      </pic:spPr>
                    </pic:pic>
                  </a:graphicData>
                </a:graphic>
              </wp:inline>
            </w:drawing>
          </w:r>
          <w:r w:rsidRPr="00DE604C">
            <w:rPr>
              <w:rFonts w:ascii="Tahoma" w:hAnsi="Tahoma" w:cs="Tahoma"/>
              <w:noProof/>
              <w:sz w:val="16"/>
              <w:szCs w:val="16"/>
              <w:lang w:val="en-GB" w:eastAsia="en-GB"/>
            </w:rPr>
            <w:drawing>
              <wp:inline distT="0" distB="0" distL="0" distR="0" wp14:anchorId="718D64C7" wp14:editId="58601303">
                <wp:extent cx="1097756" cy="323850"/>
                <wp:effectExtent l="0" t="0" r="7620" b="0"/>
                <wp:docPr id="5" name="Picture 5" descr="D:\Tamara Backup\ACTION SEE\logoa\WFD_logo_grey_RGB_0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mara Backup\ACTION SEE\logoa\WFD_logo_grey_RGB_06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7116" cy="335462"/>
                        </a:xfrm>
                        <a:prstGeom prst="rect">
                          <a:avLst/>
                        </a:prstGeom>
                        <a:noFill/>
                        <a:ln>
                          <a:noFill/>
                        </a:ln>
                      </pic:spPr>
                    </pic:pic>
                  </a:graphicData>
                </a:graphic>
              </wp:inline>
            </w:drawing>
          </w:r>
          <w:r>
            <w:rPr>
              <w:rFonts w:ascii="Tahoma" w:hAnsi="Tahoma" w:cs="Tahoma"/>
              <w:sz w:val="16"/>
              <w:szCs w:val="16"/>
              <w:lang w:val="en-US"/>
            </w:rPr>
            <w:t xml:space="preserve"> </w:t>
          </w:r>
          <w:r>
            <w:rPr>
              <w:rFonts w:ascii="Tahoma" w:hAnsi="Tahoma" w:cs="Tahoma"/>
              <w:noProof/>
              <w:sz w:val="16"/>
              <w:szCs w:val="16"/>
              <w:lang w:val="en-GB" w:eastAsia="en-GB"/>
            </w:rPr>
            <w:drawing>
              <wp:inline distT="0" distB="0" distL="0" distR="0" wp14:anchorId="78C64981" wp14:editId="69FEDDE2">
                <wp:extent cx="570661" cy="304194"/>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vAR9E7.png"/>
                        <pic:cNvPicPr/>
                      </pic:nvPicPr>
                      <pic:blipFill>
                        <a:blip r:embed="rId3">
                          <a:extLst>
                            <a:ext uri="{28A0092B-C50C-407E-A947-70E740481C1C}">
                              <a14:useLocalDpi xmlns:a14="http://schemas.microsoft.com/office/drawing/2010/main" val="0"/>
                            </a:ext>
                          </a:extLst>
                        </a:blip>
                        <a:stretch>
                          <a:fillRect/>
                        </a:stretch>
                      </pic:blipFill>
                      <pic:spPr>
                        <a:xfrm>
                          <a:off x="0" y="0"/>
                          <a:ext cx="666893" cy="355491"/>
                        </a:xfrm>
                        <a:prstGeom prst="rect">
                          <a:avLst/>
                        </a:prstGeom>
                      </pic:spPr>
                    </pic:pic>
                  </a:graphicData>
                </a:graphic>
              </wp:inline>
            </w:drawing>
          </w:r>
          <w:r>
            <w:rPr>
              <w:rFonts w:ascii="Tahoma" w:hAnsi="Tahoma" w:cs="Tahoma"/>
              <w:noProof/>
              <w:sz w:val="16"/>
              <w:szCs w:val="16"/>
              <w:lang w:val="en-GB" w:eastAsia="en-GB"/>
            </w:rPr>
            <w:drawing>
              <wp:inline distT="0" distB="0" distL="0" distR="0" wp14:anchorId="71932966" wp14:editId="35A82963">
                <wp:extent cx="673735" cy="3301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zastone-300x147.png"/>
                        <pic:cNvPicPr/>
                      </pic:nvPicPr>
                      <pic:blipFill>
                        <a:blip r:embed="rId4">
                          <a:extLst>
                            <a:ext uri="{28A0092B-C50C-407E-A947-70E740481C1C}">
                              <a14:useLocalDpi xmlns:a14="http://schemas.microsoft.com/office/drawing/2010/main" val="0"/>
                            </a:ext>
                          </a:extLst>
                        </a:blip>
                        <a:stretch>
                          <a:fillRect/>
                        </a:stretch>
                      </pic:blipFill>
                      <pic:spPr>
                        <a:xfrm>
                          <a:off x="0" y="0"/>
                          <a:ext cx="717806" cy="351725"/>
                        </a:xfrm>
                        <a:prstGeom prst="rect">
                          <a:avLst/>
                        </a:prstGeom>
                      </pic:spPr>
                    </pic:pic>
                  </a:graphicData>
                </a:graphic>
              </wp:inline>
            </w:drawing>
          </w:r>
          <w:r>
            <w:rPr>
              <w:rFonts w:ascii="Tahoma" w:hAnsi="Tahoma" w:cs="Tahoma"/>
              <w:noProof/>
              <w:sz w:val="16"/>
              <w:szCs w:val="16"/>
              <w:lang w:val="en-GB" w:eastAsia="en-GB"/>
            </w:rPr>
            <w:drawing>
              <wp:inline distT="0" distB="0" distL="0" distR="0" wp14:anchorId="0F489435" wp14:editId="6E6A758A">
                <wp:extent cx="565150" cy="315819"/>
                <wp:effectExtent l="0" t="0" r="635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591829" cy="330728"/>
                        </a:xfrm>
                        <a:prstGeom prst="rect">
                          <a:avLst/>
                        </a:prstGeom>
                      </pic:spPr>
                    </pic:pic>
                  </a:graphicData>
                </a:graphic>
              </wp:inline>
            </w:drawing>
          </w:r>
          <w:r>
            <w:rPr>
              <w:rFonts w:ascii="Tahoma" w:hAnsi="Tahoma" w:cs="Tahoma"/>
              <w:sz w:val="16"/>
              <w:szCs w:val="16"/>
              <w:lang w:val="en-US"/>
            </w:rPr>
            <w:t xml:space="preserve"> </w:t>
          </w:r>
          <w:r>
            <w:rPr>
              <w:rFonts w:ascii="Tahoma" w:hAnsi="Tahoma" w:cs="Tahoma"/>
              <w:noProof/>
              <w:sz w:val="16"/>
              <w:szCs w:val="16"/>
              <w:lang w:val="en-GB" w:eastAsia="en-GB"/>
            </w:rPr>
            <w:drawing>
              <wp:inline distT="0" distB="0" distL="0" distR="0" wp14:anchorId="052C297F" wp14:editId="0A409214">
                <wp:extent cx="601170" cy="32564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k_logo.jpg"/>
                        <pic:cNvPicPr/>
                      </pic:nvPicPr>
                      <pic:blipFill>
                        <a:blip r:embed="rId6">
                          <a:extLst>
                            <a:ext uri="{28A0092B-C50C-407E-A947-70E740481C1C}">
                              <a14:useLocalDpi xmlns:a14="http://schemas.microsoft.com/office/drawing/2010/main" val="0"/>
                            </a:ext>
                          </a:extLst>
                        </a:blip>
                        <a:stretch>
                          <a:fillRect/>
                        </a:stretch>
                      </pic:blipFill>
                      <pic:spPr>
                        <a:xfrm>
                          <a:off x="0" y="0"/>
                          <a:ext cx="670651" cy="363281"/>
                        </a:xfrm>
                        <a:prstGeom prst="rect">
                          <a:avLst/>
                        </a:prstGeom>
                      </pic:spPr>
                    </pic:pic>
                  </a:graphicData>
                </a:graphic>
              </wp:inline>
            </w:drawing>
          </w:r>
          <w:r>
            <w:rPr>
              <w:rFonts w:ascii="Tahoma" w:hAnsi="Tahoma" w:cs="Tahoma"/>
              <w:sz w:val="16"/>
              <w:szCs w:val="16"/>
              <w:lang w:val="en-US"/>
            </w:rPr>
            <w:t xml:space="preserve"> </w:t>
          </w:r>
          <w:r>
            <w:rPr>
              <w:rFonts w:ascii="Tahoma" w:hAnsi="Tahoma" w:cs="Tahoma"/>
              <w:noProof/>
              <w:sz w:val="16"/>
              <w:szCs w:val="16"/>
              <w:lang w:val="en-GB" w:eastAsia="en-GB"/>
            </w:rPr>
            <w:drawing>
              <wp:inline distT="0" distB="0" distL="0" distR="0" wp14:anchorId="6A30D1CB" wp14:editId="6DED525A">
                <wp:extent cx="314034" cy="40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vizja-mjaft-del-me-nje-thirrje-ndaj-partive-politike-per-zgjedhjet-parlamentare.jpg"/>
                        <pic:cNvPicPr/>
                      </pic:nvPicPr>
                      <pic:blipFill>
                        <a:blip r:embed="rId7">
                          <a:extLst>
                            <a:ext uri="{28A0092B-C50C-407E-A947-70E740481C1C}">
                              <a14:useLocalDpi xmlns:a14="http://schemas.microsoft.com/office/drawing/2010/main" val="0"/>
                            </a:ext>
                          </a:extLst>
                        </a:blip>
                        <a:stretch>
                          <a:fillRect/>
                        </a:stretch>
                      </pic:blipFill>
                      <pic:spPr>
                        <a:xfrm>
                          <a:off x="0" y="0"/>
                          <a:ext cx="348693" cy="445079"/>
                        </a:xfrm>
                        <a:prstGeom prst="rect">
                          <a:avLst/>
                        </a:prstGeom>
                      </pic:spPr>
                    </pic:pic>
                  </a:graphicData>
                </a:graphic>
              </wp:inline>
            </w:drawing>
          </w:r>
        </w:p>
      </w:tc>
      <w:tc>
        <w:tcPr>
          <w:tcW w:w="2693" w:type="dxa"/>
        </w:tcPr>
        <w:p w14:paraId="29D27B78" w14:textId="77777777" w:rsidR="004A761A" w:rsidRDefault="004A761A" w:rsidP="004A761A">
          <w:pPr>
            <w:pStyle w:val="Footer"/>
            <w:tabs>
              <w:tab w:val="clear" w:pos="9026"/>
            </w:tabs>
            <w:ind w:right="-425"/>
            <w:rPr>
              <w:rFonts w:ascii="Tahoma" w:hAnsi="Tahoma" w:cs="Tahoma"/>
              <w:sz w:val="16"/>
              <w:szCs w:val="16"/>
            </w:rPr>
          </w:pPr>
          <w:r>
            <w:rPr>
              <w:rFonts w:ascii="Tahoma" w:hAnsi="Tahoma" w:cs="Tahoma"/>
              <w:noProof/>
              <w:sz w:val="16"/>
              <w:szCs w:val="16"/>
              <w:lang w:val="en-GB" w:eastAsia="en-GB"/>
            </w:rPr>
            <w:drawing>
              <wp:anchor distT="0" distB="0" distL="114300" distR="114300" simplePos="0" relativeHeight="251659264" behindDoc="1" locked="0" layoutInCell="1" allowOverlap="1" wp14:anchorId="447D3F54" wp14:editId="13F36471">
                <wp:simplePos x="0" y="0"/>
                <wp:positionH relativeFrom="column">
                  <wp:posOffset>872490</wp:posOffset>
                </wp:positionH>
                <wp:positionV relativeFrom="paragraph">
                  <wp:posOffset>76200</wp:posOffset>
                </wp:positionV>
                <wp:extent cx="578485" cy="389890"/>
                <wp:effectExtent l="0" t="0" r="0" b="0"/>
                <wp:wrapTight wrapText="bothSides">
                  <wp:wrapPolygon edited="0">
                    <wp:start x="0" y="0"/>
                    <wp:lineTo x="0" y="20052"/>
                    <wp:lineTo x="20628" y="20052"/>
                    <wp:lineTo x="20628" y="0"/>
                    <wp:lineTo x="0" y="0"/>
                  </wp:wrapPolygon>
                </wp:wrapTight>
                <wp:docPr id="8" name="Picture 5" descr="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jpg"/>
                        <pic:cNvPicPr/>
                      </pic:nvPicPr>
                      <pic:blipFill>
                        <a:blip r:embed="rId8">
                          <a:extLst>
                            <a:ext uri="{28A0092B-C50C-407E-A947-70E740481C1C}">
                              <a14:useLocalDpi xmlns:a14="http://schemas.microsoft.com/office/drawing/2010/main" val="0"/>
                            </a:ext>
                          </a:extLst>
                        </a:blip>
                        <a:stretch>
                          <a:fillRect/>
                        </a:stretch>
                      </pic:blipFill>
                      <pic:spPr>
                        <a:xfrm>
                          <a:off x="0" y="0"/>
                          <a:ext cx="578485" cy="389890"/>
                        </a:xfrm>
                        <a:prstGeom prst="rect">
                          <a:avLst/>
                        </a:prstGeom>
                      </pic:spPr>
                    </pic:pic>
                  </a:graphicData>
                </a:graphic>
              </wp:anchor>
            </w:drawing>
          </w:r>
        </w:p>
      </w:tc>
    </w:tr>
    <w:tr w:rsidR="004A761A" w14:paraId="7A130139" w14:textId="77777777" w:rsidTr="00CC0A92">
      <w:tc>
        <w:tcPr>
          <w:tcW w:w="8648" w:type="dxa"/>
        </w:tcPr>
        <w:p w14:paraId="05296204" w14:textId="77777777" w:rsidR="004A761A" w:rsidRDefault="004A761A" w:rsidP="004A761A">
          <w:pPr>
            <w:pStyle w:val="Footer"/>
            <w:tabs>
              <w:tab w:val="clear" w:pos="9026"/>
            </w:tabs>
            <w:ind w:right="738"/>
            <w:jc w:val="both"/>
            <w:rPr>
              <w:rFonts w:ascii="Calibri" w:hAnsi="Calibri" w:cs="Calibri"/>
              <w:sz w:val="20"/>
              <w:shd w:val="clear" w:color="auto" w:fill="FFFFFF"/>
            </w:rPr>
          </w:pPr>
        </w:p>
        <w:p w14:paraId="1FA1ECA0" w14:textId="77777777" w:rsidR="004A761A" w:rsidRPr="004C6CBA" w:rsidRDefault="004A761A" w:rsidP="004A761A">
          <w:pPr>
            <w:pStyle w:val="Footer"/>
            <w:tabs>
              <w:tab w:val="clear" w:pos="9026"/>
            </w:tabs>
            <w:ind w:right="738"/>
            <w:jc w:val="both"/>
            <w:rPr>
              <w:rFonts w:ascii="Tahoma" w:hAnsi="Tahoma" w:cs="Tahoma"/>
              <w:sz w:val="16"/>
              <w:szCs w:val="16"/>
              <w:lang w:val="en-US"/>
            </w:rPr>
          </w:pPr>
          <w:r w:rsidRPr="00DD4D35">
            <w:rPr>
              <w:rFonts w:ascii="Calibri" w:hAnsi="Calibri" w:cs="Calibri"/>
              <w:sz w:val="20"/>
              <w:shd w:val="clear" w:color="auto" w:fill="FFFFFF"/>
              <w:lang w:val="en-US"/>
            </w:rPr>
            <w:t xml:space="preserve">The Accountability, Technology and Institutional Openness Network in Southeastern Europe - ACTION SEE project is implemented by Metamorphosis Foundation, Westminster Foundation for Democracy, Center for Research, Transparency and Accountability - CRTA, Citizens' Association Why not?, Center for Democratic Transition - CDT, Open Data Kosovo (ODK) and </w:t>
          </w:r>
          <w:proofErr w:type="spellStart"/>
          <w:r w:rsidRPr="00DD4D35">
            <w:rPr>
              <w:rFonts w:ascii="Calibri" w:hAnsi="Calibri" w:cs="Calibri"/>
              <w:sz w:val="20"/>
              <w:shd w:val="clear" w:color="auto" w:fill="FFFFFF"/>
              <w:lang w:val="en-US"/>
            </w:rPr>
            <w:t>Levizja</w:t>
          </w:r>
          <w:proofErr w:type="spellEnd"/>
          <w:r w:rsidRPr="00DD4D35">
            <w:rPr>
              <w:rFonts w:ascii="Calibri" w:hAnsi="Calibri" w:cs="Calibri"/>
              <w:sz w:val="20"/>
              <w:shd w:val="clear" w:color="auto" w:fill="FFFFFF"/>
              <w:lang w:val="en-US"/>
            </w:rPr>
            <w:t xml:space="preserve"> </w:t>
          </w:r>
          <w:proofErr w:type="spellStart"/>
          <w:r w:rsidRPr="00DD4D35">
            <w:rPr>
              <w:rFonts w:ascii="Calibri" w:hAnsi="Calibri" w:cs="Calibri"/>
              <w:sz w:val="20"/>
              <w:shd w:val="clear" w:color="auto" w:fill="FFFFFF"/>
              <w:lang w:val="en-US"/>
            </w:rPr>
            <w:t>Mjaft</w:t>
          </w:r>
          <w:proofErr w:type="spellEnd"/>
          <w:r w:rsidRPr="00DD4D35">
            <w:rPr>
              <w:rFonts w:ascii="Calibri" w:hAnsi="Calibri" w:cs="Calibri"/>
              <w:sz w:val="20"/>
              <w:shd w:val="clear" w:color="auto" w:fill="FFFFFF"/>
              <w:lang w:val="en-US"/>
            </w:rPr>
            <w:t xml:space="preserve">!. </w:t>
          </w:r>
        </w:p>
      </w:tc>
      <w:tc>
        <w:tcPr>
          <w:tcW w:w="2693" w:type="dxa"/>
        </w:tcPr>
        <w:p w14:paraId="21FF804E" w14:textId="77777777" w:rsidR="004A761A" w:rsidRDefault="004A761A" w:rsidP="004A761A">
          <w:pPr>
            <w:pStyle w:val="Footer"/>
            <w:tabs>
              <w:tab w:val="clear" w:pos="9026"/>
            </w:tabs>
            <w:ind w:right="-70"/>
            <w:rPr>
              <w:rFonts w:cstheme="minorHAnsi"/>
              <w:sz w:val="20"/>
              <w:szCs w:val="20"/>
              <w:lang w:val="en-US"/>
            </w:rPr>
          </w:pPr>
        </w:p>
        <w:p w14:paraId="61EA036E" w14:textId="77777777" w:rsidR="004A761A" w:rsidRPr="00ED39C1" w:rsidRDefault="004A761A" w:rsidP="004A761A">
          <w:pPr>
            <w:pStyle w:val="Footer"/>
            <w:tabs>
              <w:tab w:val="clear" w:pos="9026"/>
            </w:tabs>
            <w:ind w:right="-70"/>
            <w:rPr>
              <w:rFonts w:cstheme="minorHAnsi"/>
              <w:sz w:val="20"/>
              <w:szCs w:val="20"/>
            </w:rPr>
          </w:pPr>
          <w:r>
            <w:rPr>
              <w:rFonts w:cstheme="minorHAnsi"/>
              <w:sz w:val="16"/>
              <w:szCs w:val="16"/>
              <w:lang w:val="en-US"/>
            </w:rPr>
            <w:t xml:space="preserve"> This project is funded by the European Union.</w:t>
          </w:r>
        </w:p>
        <w:p w14:paraId="69927DA8" w14:textId="77777777" w:rsidR="004A761A" w:rsidRDefault="004A761A" w:rsidP="004A761A">
          <w:pPr>
            <w:pStyle w:val="Footer"/>
            <w:tabs>
              <w:tab w:val="clear" w:pos="9026"/>
            </w:tabs>
            <w:ind w:right="-70"/>
            <w:rPr>
              <w:rFonts w:cstheme="minorHAnsi"/>
              <w:sz w:val="20"/>
              <w:szCs w:val="20"/>
            </w:rPr>
          </w:pPr>
        </w:p>
        <w:p w14:paraId="33EB890C" w14:textId="77777777" w:rsidR="004A761A" w:rsidRPr="00ED39C1" w:rsidRDefault="004A761A" w:rsidP="004A761A">
          <w:pPr>
            <w:pStyle w:val="Footer"/>
            <w:tabs>
              <w:tab w:val="clear" w:pos="9026"/>
            </w:tabs>
            <w:ind w:right="-70"/>
            <w:rPr>
              <w:rFonts w:cstheme="minorHAnsi"/>
              <w:sz w:val="20"/>
              <w:szCs w:val="20"/>
            </w:rPr>
          </w:pPr>
        </w:p>
        <w:p w14:paraId="6DF5643A" w14:textId="77777777" w:rsidR="004A761A" w:rsidRPr="00ED39C1" w:rsidRDefault="004A761A" w:rsidP="004A761A">
          <w:pPr>
            <w:pStyle w:val="Footer"/>
            <w:tabs>
              <w:tab w:val="clear" w:pos="9026"/>
            </w:tabs>
            <w:ind w:right="-70"/>
            <w:rPr>
              <w:rFonts w:ascii="Tahoma" w:hAnsi="Tahoma" w:cs="Tahoma"/>
              <w:sz w:val="16"/>
              <w:szCs w:val="16"/>
              <w:lang w:val="en-US"/>
            </w:rPr>
          </w:pPr>
        </w:p>
      </w:tc>
    </w:tr>
  </w:tbl>
  <w:p w14:paraId="365FF4C0" w14:textId="77777777" w:rsidR="00A02BD0" w:rsidRPr="0062612C" w:rsidRDefault="006B4362" w:rsidP="0062612C">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842A3" w14:textId="77777777" w:rsidR="006B4362" w:rsidRDefault="006B4362">
      <w:pPr>
        <w:spacing w:after="0" w:line="240" w:lineRule="auto"/>
      </w:pPr>
      <w:r>
        <w:separator/>
      </w:r>
    </w:p>
  </w:footnote>
  <w:footnote w:type="continuationSeparator" w:id="0">
    <w:p w14:paraId="605AD162" w14:textId="77777777" w:rsidR="006B4362" w:rsidRDefault="006B4362">
      <w:pPr>
        <w:spacing w:after="0" w:line="240" w:lineRule="auto"/>
      </w:pPr>
      <w:r>
        <w:continuationSeparator/>
      </w:r>
    </w:p>
  </w:footnote>
  <w:footnote w:id="1">
    <w:p w14:paraId="397C8FDD" w14:textId="65C25B09" w:rsidR="00F85EA9" w:rsidRPr="00F85EA9" w:rsidRDefault="00F85EA9">
      <w:pPr>
        <w:pStyle w:val="FootnoteText"/>
        <w:rPr>
          <w:lang w:val="sr-Latn-RS"/>
        </w:rPr>
      </w:pPr>
      <w:r>
        <w:rPr>
          <w:rStyle w:val="FootnoteReference"/>
        </w:rPr>
        <w:footnoteRef/>
      </w:r>
      <w:r>
        <w:t xml:space="preserve"> </w:t>
      </w:r>
      <w:r>
        <w:rPr>
          <w:lang w:val="sr-Latn-RS"/>
        </w:rPr>
        <w:t>More information is available in the section „Methodology“.</w:t>
      </w:r>
    </w:p>
  </w:footnote>
  <w:footnote w:id="2">
    <w:p w14:paraId="7DF8097B" w14:textId="1834C701" w:rsidR="00307043" w:rsidRPr="00307043" w:rsidRDefault="00307043">
      <w:pPr>
        <w:pStyle w:val="FootnoteText"/>
        <w:rPr>
          <w:lang w:val="sr-Latn-RS"/>
        </w:rPr>
      </w:pPr>
      <w:r>
        <w:rPr>
          <w:rStyle w:val="FootnoteReference"/>
        </w:rPr>
        <w:footnoteRef/>
      </w:r>
      <w:r>
        <w:t xml:space="preserve"> </w:t>
      </w:r>
      <w:r w:rsidR="00F85EA9">
        <w:rPr>
          <w:lang w:val="sr-Latn-RS"/>
        </w:rPr>
        <w:t xml:space="preserve">CDT </w:t>
      </w:r>
      <w:r w:rsidR="00F85EA9">
        <w:rPr>
          <w:lang w:val="sr-Latn-RS"/>
        </w:rPr>
        <w:t xml:space="preserve">submitted some of these proposals to Montenegro’s Open Government Partnership (OGP) team. </w:t>
      </w:r>
    </w:p>
  </w:footnote>
  <w:footnote w:id="3">
    <w:p w14:paraId="5A1512E8" w14:textId="77777777" w:rsidR="0000353B" w:rsidRPr="00763E04" w:rsidRDefault="0000353B" w:rsidP="0000353B">
      <w:pPr>
        <w:pStyle w:val="FootnoteText"/>
        <w:jc w:val="both"/>
        <w:rPr>
          <w:highlight w:val="yellow"/>
        </w:rPr>
      </w:pPr>
      <w:r w:rsidRPr="00CE50E8">
        <w:rPr>
          <w:rStyle w:val="FootnoteReference"/>
        </w:rPr>
        <w:footnoteRef/>
      </w:r>
      <w:r w:rsidRPr="00CE50E8">
        <w:t xml:space="preserve"> </w:t>
      </w:r>
      <w:r w:rsidRPr="00CE50E8">
        <w:t>Parliamentary Openness</w:t>
      </w:r>
      <w:r>
        <w:t xml:space="preserve"> Index</w:t>
      </w:r>
      <w:r w:rsidRPr="00CE50E8">
        <w:t xml:space="preserve"> conducted by the Center for Research, Transparency and Accountability (CRTA),</w:t>
      </w:r>
      <w:r w:rsidRPr="00112725">
        <w:t xml:space="preserve"> shows that the Parliament of Montenegro was </w:t>
      </w:r>
      <w:r>
        <w:t xml:space="preserve">the </w:t>
      </w:r>
      <w:r w:rsidRPr="00112725">
        <w:t>most open in the</w:t>
      </w:r>
      <w:r>
        <w:t xml:space="preserve"> region in 2014, 2015 and 2016</w:t>
      </w:r>
      <w:r w:rsidRPr="00112725">
        <w:t xml:space="preserve">. Details available at: </w:t>
      </w:r>
      <w:hyperlink r:id="rId1" w:history="1">
        <w:r w:rsidRPr="00BC1482">
          <w:rPr>
            <w:rStyle w:val="Hyperlink"/>
          </w:rPr>
          <w:t>http://www.otvoreniparlament.rs/istrazivanje</w:t>
        </w:r>
      </w:hyperlink>
      <w:r w:rsidRPr="00BC1482">
        <w:t>.</w:t>
      </w:r>
      <w:r>
        <w:t xml:space="preserve"> </w:t>
      </w:r>
      <w:r w:rsidRPr="00112725">
        <w:t xml:space="preserve">Last year's results of measuring </w:t>
      </w:r>
      <w:r>
        <w:t xml:space="preserve">of </w:t>
      </w:r>
      <w:r w:rsidRPr="00112725">
        <w:t>the ACTION SEE network show that the</w:t>
      </w:r>
      <w:r>
        <w:t xml:space="preserve"> </w:t>
      </w:r>
      <w:r w:rsidRPr="00112725">
        <w:t>Parliament</w:t>
      </w:r>
      <w:r>
        <w:t xml:space="preserve"> of Montenegro</w:t>
      </w:r>
      <w:r w:rsidRPr="00112725">
        <w:t xml:space="preserve"> was the most open in 2017.</w:t>
      </w:r>
    </w:p>
  </w:footnote>
  <w:footnote w:id="4">
    <w:p w14:paraId="24628126" w14:textId="77777777" w:rsidR="00036F2E" w:rsidRDefault="00036F2E" w:rsidP="00036F2E">
      <w:pPr>
        <w:pStyle w:val="FootnoteText"/>
      </w:pPr>
      <w:r>
        <w:rPr>
          <w:rStyle w:val="FootnoteReference"/>
        </w:rPr>
        <w:footnoteRef/>
      </w:r>
      <w:r>
        <w:t xml:space="preserve"> </w:t>
      </w:r>
      <w:r w:rsidRPr="00F2767B">
        <w:t xml:space="preserve">50% </w:t>
      </w:r>
      <w:r w:rsidRPr="00BE7A69">
        <w:t>of th</w:t>
      </w:r>
      <w:r>
        <w:t>e municipalities in Montenegro we</w:t>
      </w:r>
      <w:r w:rsidRPr="00BE7A69">
        <w:t xml:space="preserve">re covered by the sample </w:t>
      </w:r>
      <w:r w:rsidRPr="00F2767B">
        <w:t>(Bar, Bijelo Polje, Herceg Novi,</w:t>
      </w:r>
      <w:r>
        <w:t xml:space="preserve"> </w:t>
      </w:r>
      <w:r w:rsidRPr="00F2767B">
        <w:t>Kolašin, Mojkovac, Plužine,</w:t>
      </w:r>
      <w:r>
        <w:t xml:space="preserve"> </w:t>
      </w:r>
      <w:r w:rsidRPr="00F2767B">
        <w:t>Pljevlja, Podgorica, Rožaje,</w:t>
      </w:r>
      <w:r>
        <w:t xml:space="preserve"> </w:t>
      </w:r>
      <w:r w:rsidRPr="00F2767B">
        <w:t>Šavnik, Tivat).</w:t>
      </w:r>
    </w:p>
  </w:footnote>
  <w:footnote w:id="5">
    <w:p w14:paraId="6F5C87F2" w14:textId="77777777" w:rsidR="00393FE1" w:rsidRPr="0094711C" w:rsidRDefault="00393FE1" w:rsidP="00393FE1">
      <w:pPr>
        <w:pStyle w:val="FootnoteText"/>
        <w:rPr>
          <w:lang w:val="sr-Latn-RS"/>
        </w:rPr>
      </w:pPr>
      <w:r>
        <w:rPr>
          <w:rStyle w:val="FootnoteReference"/>
        </w:rPr>
        <w:footnoteRef/>
      </w:r>
      <w:r w:rsidRPr="007668AE">
        <w:rPr>
          <w:lang w:val="sr-Latn-RS"/>
        </w:rPr>
        <w:t xml:space="preserve"> </w:t>
      </w:r>
      <w:r w:rsidRPr="008C0501">
        <w:rPr>
          <w:lang w:val="en-US"/>
        </w:rPr>
        <w:t xml:space="preserve">Strategy </w:t>
      </w:r>
      <w:r>
        <w:rPr>
          <w:lang w:val="en-US"/>
        </w:rPr>
        <w:t xml:space="preserve">for the Reform of the Judiciary </w:t>
      </w:r>
      <w:r w:rsidRPr="008C0501">
        <w:rPr>
          <w:lang w:val="en-US"/>
        </w:rPr>
        <w:t>2014-2018</w:t>
      </w:r>
      <w:r>
        <w:rPr>
          <w:lang w:val="sr-Latn-RS"/>
        </w:rPr>
        <w:t xml:space="preserve">, </w:t>
      </w:r>
      <w:hyperlink r:id="rId2" w:history="1">
        <w:r w:rsidRPr="00F72F1A">
          <w:rPr>
            <w:rStyle w:val="Hyperlink"/>
            <w:lang w:val="sr-Latn-RS"/>
          </w:rPr>
          <w:t>http://sudovi.me/podaci/sscg/dokumenta/5548.pdf</w:t>
        </w:r>
      </w:hyperlink>
      <w:r>
        <w:rPr>
          <w:lang w:val="sr-Latn-RS"/>
        </w:rPr>
        <w:t xml:space="preserve">. </w:t>
      </w:r>
    </w:p>
  </w:footnote>
  <w:footnote w:id="6">
    <w:p w14:paraId="4B9ACA19" w14:textId="77777777" w:rsidR="00393FE1" w:rsidRPr="0094711C" w:rsidRDefault="00393FE1" w:rsidP="00393FE1">
      <w:pPr>
        <w:pStyle w:val="FootnoteText"/>
        <w:rPr>
          <w:lang w:val="sr-Latn-RS"/>
        </w:rPr>
      </w:pPr>
      <w:r>
        <w:rPr>
          <w:rStyle w:val="FootnoteReference"/>
        </w:rPr>
        <w:footnoteRef/>
      </w:r>
      <w:r w:rsidRPr="007668AE">
        <w:rPr>
          <w:lang w:val="sr-Latn-RS"/>
        </w:rPr>
        <w:t xml:space="preserve"> </w:t>
      </w:r>
      <w:r w:rsidRPr="008C0501">
        <w:rPr>
          <w:lang w:val="sr-Latn-RS"/>
        </w:rPr>
        <w:t>The sample covered 50% of courts and prosecutor</w:t>
      </w:r>
      <w:r>
        <w:rPr>
          <w:lang w:val="sr-Latn-RS"/>
        </w:rPr>
        <w:t>’s</w:t>
      </w:r>
      <w:r w:rsidRPr="008C0501">
        <w:rPr>
          <w:lang w:val="sr-Latn-RS"/>
        </w:rPr>
        <w:t xml:space="preserve"> offices</w:t>
      </w:r>
      <w:r>
        <w:rPr>
          <w:lang w:val="sr-Latn-R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2D15E" w14:textId="4F5FE8FC" w:rsidR="00FD4372" w:rsidRDefault="00FD4372" w:rsidP="00FD4372">
    <w:pPr>
      <w:pStyle w:val="Header"/>
      <w:jc w:val="center"/>
    </w:pPr>
    <w:r>
      <w:rPr>
        <w:noProof/>
        <w:lang w:val="en-GB" w:eastAsia="en-GB"/>
      </w:rPr>
      <w:drawing>
        <wp:inline distT="0" distB="0" distL="0" distR="0" wp14:anchorId="57FF2C09" wp14:editId="2533579E">
          <wp:extent cx="4151630" cy="913765"/>
          <wp:effectExtent l="0" t="0" r="127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151630" cy="913765"/>
                  </a:xfrm>
                  <a:prstGeom prst="rect">
                    <a:avLst/>
                  </a:prstGeom>
                </pic:spPr>
              </pic:pic>
            </a:graphicData>
          </a:graphic>
        </wp:inline>
      </w:drawing>
    </w:r>
  </w:p>
  <w:p w14:paraId="4E292EB1" w14:textId="77777777" w:rsidR="00DF589A" w:rsidRDefault="006B4362" w:rsidP="00C1316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2C38"/>
    <w:multiLevelType w:val="hybridMultilevel"/>
    <w:tmpl w:val="4060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B681D"/>
    <w:multiLevelType w:val="hybridMultilevel"/>
    <w:tmpl w:val="4F82BF60"/>
    <w:lvl w:ilvl="0" w:tplc="EC6C7F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C314348"/>
    <w:multiLevelType w:val="hybridMultilevel"/>
    <w:tmpl w:val="C8BC768A"/>
    <w:lvl w:ilvl="0" w:tplc="4C68A0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3DF5439"/>
    <w:multiLevelType w:val="hybridMultilevel"/>
    <w:tmpl w:val="B9FC7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8756C4"/>
    <w:multiLevelType w:val="hybridMultilevel"/>
    <w:tmpl w:val="EC3A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E85ACC"/>
    <w:multiLevelType w:val="hybridMultilevel"/>
    <w:tmpl w:val="C2ACEE76"/>
    <w:lvl w:ilvl="0" w:tplc="67B627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7F872B2"/>
    <w:multiLevelType w:val="hybridMultilevel"/>
    <w:tmpl w:val="BA5E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281678"/>
    <w:multiLevelType w:val="hybridMultilevel"/>
    <w:tmpl w:val="92B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E97F18"/>
    <w:multiLevelType w:val="hybridMultilevel"/>
    <w:tmpl w:val="CD0E06B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1523651"/>
    <w:multiLevelType w:val="hybridMultilevel"/>
    <w:tmpl w:val="23A2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B5542"/>
    <w:multiLevelType w:val="hybridMultilevel"/>
    <w:tmpl w:val="5C2A2B56"/>
    <w:lvl w:ilvl="0" w:tplc="B7CA4C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36F16AC"/>
    <w:multiLevelType w:val="hybridMultilevel"/>
    <w:tmpl w:val="7D64E00A"/>
    <w:lvl w:ilvl="0" w:tplc="26BC51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5881547"/>
    <w:multiLevelType w:val="hybridMultilevel"/>
    <w:tmpl w:val="8BD8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386469"/>
    <w:multiLevelType w:val="hybridMultilevel"/>
    <w:tmpl w:val="1188D842"/>
    <w:lvl w:ilvl="0" w:tplc="0EAC5D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0864890"/>
    <w:multiLevelType w:val="multilevel"/>
    <w:tmpl w:val="77C078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2A118B0"/>
    <w:multiLevelType w:val="hybridMultilevel"/>
    <w:tmpl w:val="BD96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6B4D64"/>
    <w:multiLevelType w:val="hybridMultilevel"/>
    <w:tmpl w:val="757C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2101FC"/>
    <w:multiLevelType w:val="hybridMultilevel"/>
    <w:tmpl w:val="9D1E1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A87492"/>
    <w:multiLevelType w:val="hybridMultilevel"/>
    <w:tmpl w:val="9DD0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C37970"/>
    <w:multiLevelType w:val="hybridMultilevel"/>
    <w:tmpl w:val="1FAEB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532835"/>
    <w:multiLevelType w:val="hybridMultilevel"/>
    <w:tmpl w:val="EE908A64"/>
    <w:lvl w:ilvl="0" w:tplc="C3BEFE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3E90712"/>
    <w:multiLevelType w:val="hybridMultilevel"/>
    <w:tmpl w:val="A9B2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5C3E65"/>
    <w:multiLevelType w:val="hybridMultilevel"/>
    <w:tmpl w:val="E8B8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2"/>
  </w:num>
  <w:num w:numId="4">
    <w:abstractNumId w:val="21"/>
  </w:num>
  <w:num w:numId="5">
    <w:abstractNumId w:val="7"/>
  </w:num>
  <w:num w:numId="6">
    <w:abstractNumId w:val="15"/>
  </w:num>
  <w:num w:numId="7">
    <w:abstractNumId w:val="16"/>
  </w:num>
  <w:num w:numId="8">
    <w:abstractNumId w:val="2"/>
  </w:num>
  <w:num w:numId="9">
    <w:abstractNumId w:val="11"/>
  </w:num>
  <w:num w:numId="10">
    <w:abstractNumId w:val="12"/>
  </w:num>
  <w:num w:numId="11">
    <w:abstractNumId w:val="5"/>
  </w:num>
  <w:num w:numId="12">
    <w:abstractNumId w:val="13"/>
  </w:num>
  <w:num w:numId="13">
    <w:abstractNumId w:val="1"/>
  </w:num>
  <w:num w:numId="14">
    <w:abstractNumId w:val="20"/>
  </w:num>
  <w:num w:numId="15">
    <w:abstractNumId w:val="19"/>
  </w:num>
  <w:num w:numId="16">
    <w:abstractNumId w:val="10"/>
  </w:num>
  <w:num w:numId="17">
    <w:abstractNumId w:val="3"/>
  </w:num>
  <w:num w:numId="18">
    <w:abstractNumId w:val="4"/>
  </w:num>
  <w:num w:numId="19">
    <w:abstractNumId w:val="18"/>
  </w:num>
  <w:num w:numId="20">
    <w:abstractNumId w:val="8"/>
  </w:num>
  <w:num w:numId="21">
    <w:abstractNumId w:val="0"/>
  </w:num>
  <w:num w:numId="22">
    <w:abstractNumId w:val="6"/>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1F"/>
    <w:rsid w:val="0000353B"/>
    <w:rsid w:val="00020E71"/>
    <w:rsid w:val="00031867"/>
    <w:rsid w:val="00031F9B"/>
    <w:rsid w:val="000369FD"/>
    <w:rsid w:val="00036F2E"/>
    <w:rsid w:val="000573B3"/>
    <w:rsid w:val="00090BFB"/>
    <w:rsid w:val="0009524B"/>
    <w:rsid w:val="000A5CB2"/>
    <w:rsid w:val="000B09AA"/>
    <w:rsid w:val="000B14D2"/>
    <w:rsid w:val="000B4E78"/>
    <w:rsid w:val="000C366B"/>
    <w:rsid w:val="000C5899"/>
    <w:rsid w:val="000D6D58"/>
    <w:rsid w:val="000D7DB1"/>
    <w:rsid w:val="000E3D53"/>
    <w:rsid w:val="000F0432"/>
    <w:rsid w:val="000F79F7"/>
    <w:rsid w:val="00104969"/>
    <w:rsid w:val="00116F4A"/>
    <w:rsid w:val="00121D44"/>
    <w:rsid w:val="00130460"/>
    <w:rsid w:val="00132F6A"/>
    <w:rsid w:val="00140A11"/>
    <w:rsid w:val="001438EA"/>
    <w:rsid w:val="00152A55"/>
    <w:rsid w:val="00155DCB"/>
    <w:rsid w:val="001571CE"/>
    <w:rsid w:val="00160CF2"/>
    <w:rsid w:val="00165C8C"/>
    <w:rsid w:val="00167555"/>
    <w:rsid w:val="001738B0"/>
    <w:rsid w:val="00173FE8"/>
    <w:rsid w:val="00184D2E"/>
    <w:rsid w:val="00190A7B"/>
    <w:rsid w:val="0019475E"/>
    <w:rsid w:val="001A061C"/>
    <w:rsid w:val="001A0F1A"/>
    <w:rsid w:val="001A1FE6"/>
    <w:rsid w:val="001A6861"/>
    <w:rsid w:val="001A6E90"/>
    <w:rsid w:val="001B45F6"/>
    <w:rsid w:val="001B6652"/>
    <w:rsid w:val="001E17C4"/>
    <w:rsid w:val="001F0D17"/>
    <w:rsid w:val="001F1DB5"/>
    <w:rsid w:val="001F4533"/>
    <w:rsid w:val="00200A6B"/>
    <w:rsid w:val="0021322E"/>
    <w:rsid w:val="0021656C"/>
    <w:rsid w:val="00222B47"/>
    <w:rsid w:val="0023250A"/>
    <w:rsid w:val="0023362D"/>
    <w:rsid w:val="002337A4"/>
    <w:rsid w:val="002372E7"/>
    <w:rsid w:val="00242EBF"/>
    <w:rsid w:val="00246D8F"/>
    <w:rsid w:val="0025600E"/>
    <w:rsid w:val="00261BDF"/>
    <w:rsid w:val="00273414"/>
    <w:rsid w:val="00275C28"/>
    <w:rsid w:val="002844B8"/>
    <w:rsid w:val="00286389"/>
    <w:rsid w:val="002B4DCC"/>
    <w:rsid w:val="002C6A92"/>
    <w:rsid w:val="002D26F4"/>
    <w:rsid w:val="002E1D98"/>
    <w:rsid w:val="002E5B81"/>
    <w:rsid w:val="002E5CFD"/>
    <w:rsid w:val="002F02FC"/>
    <w:rsid w:val="00307043"/>
    <w:rsid w:val="0031304C"/>
    <w:rsid w:val="00314661"/>
    <w:rsid w:val="00314EB2"/>
    <w:rsid w:val="003162B8"/>
    <w:rsid w:val="00327D81"/>
    <w:rsid w:val="003562F3"/>
    <w:rsid w:val="003664D6"/>
    <w:rsid w:val="0037082E"/>
    <w:rsid w:val="0037781F"/>
    <w:rsid w:val="003912D4"/>
    <w:rsid w:val="00393FE1"/>
    <w:rsid w:val="00395C12"/>
    <w:rsid w:val="003A3A8D"/>
    <w:rsid w:val="003A5841"/>
    <w:rsid w:val="003C0050"/>
    <w:rsid w:val="003C4449"/>
    <w:rsid w:val="003E1392"/>
    <w:rsid w:val="003E2AC2"/>
    <w:rsid w:val="003F077E"/>
    <w:rsid w:val="00406A03"/>
    <w:rsid w:val="0043084C"/>
    <w:rsid w:val="004564B9"/>
    <w:rsid w:val="00462790"/>
    <w:rsid w:val="00462FC8"/>
    <w:rsid w:val="00470B34"/>
    <w:rsid w:val="00470C69"/>
    <w:rsid w:val="00483E0D"/>
    <w:rsid w:val="00493466"/>
    <w:rsid w:val="004964AC"/>
    <w:rsid w:val="004A08F3"/>
    <w:rsid w:val="004A5A0C"/>
    <w:rsid w:val="004A761A"/>
    <w:rsid w:val="004A7DA4"/>
    <w:rsid w:val="004B1310"/>
    <w:rsid w:val="004B3882"/>
    <w:rsid w:val="004B39F7"/>
    <w:rsid w:val="004B5496"/>
    <w:rsid w:val="004C0CD6"/>
    <w:rsid w:val="004C3488"/>
    <w:rsid w:val="004C49EE"/>
    <w:rsid w:val="004C5051"/>
    <w:rsid w:val="004C6CBA"/>
    <w:rsid w:val="004D082C"/>
    <w:rsid w:val="004D3421"/>
    <w:rsid w:val="004E7C99"/>
    <w:rsid w:val="004F1EEE"/>
    <w:rsid w:val="00522997"/>
    <w:rsid w:val="00525DF8"/>
    <w:rsid w:val="005329EC"/>
    <w:rsid w:val="005418BA"/>
    <w:rsid w:val="00547600"/>
    <w:rsid w:val="00556FFC"/>
    <w:rsid w:val="00580845"/>
    <w:rsid w:val="00582757"/>
    <w:rsid w:val="00584488"/>
    <w:rsid w:val="00586887"/>
    <w:rsid w:val="00587102"/>
    <w:rsid w:val="005928A0"/>
    <w:rsid w:val="005B53B8"/>
    <w:rsid w:val="005C29AA"/>
    <w:rsid w:val="005C3E39"/>
    <w:rsid w:val="005E5D86"/>
    <w:rsid w:val="005E7342"/>
    <w:rsid w:val="005E7B3B"/>
    <w:rsid w:val="0062648B"/>
    <w:rsid w:val="00627360"/>
    <w:rsid w:val="00641254"/>
    <w:rsid w:val="00650EA7"/>
    <w:rsid w:val="00653E4D"/>
    <w:rsid w:val="00664A99"/>
    <w:rsid w:val="0069289F"/>
    <w:rsid w:val="0069477D"/>
    <w:rsid w:val="0069509B"/>
    <w:rsid w:val="006A43B1"/>
    <w:rsid w:val="006B4362"/>
    <w:rsid w:val="006C1330"/>
    <w:rsid w:val="006C6439"/>
    <w:rsid w:val="006D0610"/>
    <w:rsid w:val="006F68AF"/>
    <w:rsid w:val="00721382"/>
    <w:rsid w:val="00721A6D"/>
    <w:rsid w:val="0073313E"/>
    <w:rsid w:val="00734EFE"/>
    <w:rsid w:val="00737867"/>
    <w:rsid w:val="0074161D"/>
    <w:rsid w:val="00746915"/>
    <w:rsid w:val="007608C5"/>
    <w:rsid w:val="00761C9F"/>
    <w:rsid w:val="00780BD8"/>
    <w:rsid w:val="00783BEF"/>
    <w:rsid w:val="0078779C"/>
    <w:rsid w:val="007B07FF"/>
    <w:rsid w:val="007B5EB2"/>
    <w:rsid w:val="007B6CB1"/>
    <w:rsid w:val="007C04E1"/>
    <w:rsid w:val="007C2F4F"/>
    <w:rsid w:val="007C5FA2"/>
    <w:rsid w:val="007C780C"/>
    <w:rsid w:val="007D0F8C"/>
    <w:rsid w:val="007D4EDD"/>
    <w:rsid w:val="007E0893"/>
    <w:rsid w:val="007F2A7D"/>
    <w:rsid w:val="007F4EDA"/>
    <w:rsid w:val="007F549F"/>
    <w:rsid w:val="0080111A"/>
    <w:rsid w:val="00801AD2"/>
    <w:rsid w:val="00802C56"/>
    <w:rsid w:val="00804ABD"/>
    <w:rsid w:val="008067D6"/>
    <w:rsid w:val="00825365"/>
    <w:rsid w:val="00827344"/>
    <w:rsid w:val="0084144F"/>
    <w:rsid w:val="008462D9"/>
    <w:rsid w:val="008672E0"/>
    <w:rsid w:val="00891C71"/>
    <w:rsid w:val="008A4F0E"/>
    <w:rsid w:val="008B1081"/>
    <w:rsid w:val="008C60FB"/>
    <w:rsid w:val="008F40B5"/>
    <w:rsid w:val="008F69A0"/>
    <w:rsid w:val="009057BE"/>
    <w:rsid w:val="00913C7A"/>
    <w:rsid w:val="00917410"/>
    <w:rsid w:val="00931D80"/>
    <w:rsid w:val="009323AC"/>
    <w:rsid w:val="009340DC"/>
    <w:rsid w:val="00940E05"/>
    <w:rsid w:val="00941DD3"/>
    <w:rsid w:val="00942EA8"/>
    <w:rsid w:val="00946BDD"/>
    <w:rsid w:val="00970277"/>
    <w:rsid w:val="0097190F"/>
    <w:rsid w:val="00975ED6"/>
    <w:rsid w:val="009846E2"/>
    <w:rsid w:val="0099541F"/>
    <w:rsid w:val="009961C3"/>
    <w:rsid w:val="009E1657"/>
    <w:rsid w:val="009E1CBD"/>
    <w:rsid w:val="009F0AA6"/>
    <w:rsid w:val="009F7502"/>
    <w:rsid w:val="00A022D1"/>
    <w:rsid w:val="00A02D56"/>
    <w:rsid w:val="00A04064"/>
    <w:rsid w:val="00A06340"/>
    <w:rsid w:val="00A066B6"/>
    <w:rsid w:val="00A31C25"/>
    <w:rsid w:val="00A37861"/>
    <w:rsid w:val="00A46A8C"/>
    <w:rsid w:val="00A51464"/>
    <w:rsid w:val="00A70CB0"/>
    <w:rsid w:val="00A77701"/>
    <w:rsid w:val="00A811DC"/>
    <w:rsid w:val="00A826E0"/>
    <w:rsid w:val="00AA0EE4"/>
    <w:rsid w:val="00AB2642"/>
    <w:rsid w:val="00AC14EF"/>
    <w:rsid w:val="00AC78E4"/>
    <w:rsid w:val="00AD412C"/>
    <w:rsid w:val="00AE0966"/>
    <w:rsid w:val="00AE5931"/>
    <w:rsid w:val="00AE6A3A"/>
    <w:rsid w:val="00AF2113"/>
    <w:rsid w:val="00AF39F0"/>
    <w:rsid w:val="00AF6CA8"/>
    <w:rsid w:val="00B03126"/>
    <w:rsid w:val="00B26E3A"/>
    <w:rsid w:val="00B2768F"/>
    <w:rsid w:val="00B36925"/>
    <w:rsid w:val="00B44084"/>
    <w:rsid w:val="00B442DB"/>
    <w:rsid w:val="00B461E1"/>
    <w:rsid w:val="00B52203"/>
    <w:rsid w:val="00B910A6"/>
    <w:rsid w:val="00B91C21"/>
    <w:rsid w:val="00BA5BE3"/>
    <w:rsid w:val="00BB6524"/>
    <w:rsid w:val="00BC36C6"/>
    <w:rsid w:val="00BC3DB5"/>
    <w:rsid w:val="00BC78F8"/>
    <w:rsid w:val="00BD2B3D"/>
    <w:rsid w:val="00BD3B28"/>
    <w:rsid w:val="00BD7113"/>
    <w:rsid w:val="00BE6426"/>
    <w:rsid w:val="00BF06D5"/>
    <w:rsid w:val="00BF2457"/>
    <w:rsid w:val="00BF5A22"/>
    <w:rsid w:val="00C0035E"/>
    <w:rsid w:val="00C151F5"/>
    <w:rsid w:val="00C220AF"/>
    <w:rsid w:val="00C23CF7"/>
    <w:rsid w:val="00C30A99"/>
    <w:rsid w:val="00C40D67"/>
    <w:rsid w:val="00C40E9F"/>
    <w:rsid w:val="00C45360"/>
    <w:rsid w:val="00C45A4F"/>
    <w:rsid w:val="00C621B8"/>
    <w:rsid w:val="00C656E1"/>
    <w:rsid w:val="00C74C0C"/>
    <w:rsid w:val="00C815AD"/>
    <w:rsid w:val="00C920F4"/>
    <w:rsid w:val="00C957C6"/>
    <w:rsid w:val="00CA08ED"/>
    <w:rsid w:val="00CC422C"/>
    <w:rsid w:val="00CC5AB5"/>
    <w:rsid w:val="00CC6AB3"/>
    <w:rsid w:val="00CD1B0D"/>
    <w:rsid w:val="00CD3ADF"/>
    <w:rsid w:val="00CE009F"/>
    <w:rsid w:val="00CE1282"/>
    <w:rsid w:val="00CE340A"/>
    <w:rsid w:val="00CE4E73"/>
    <w:rsid w:val="00CE60C0"/>
    <w:rsid w:val="00CE6F2A"/>
    <w:rsid w:val="00CE745F"/>
    <w:rsid w:val="00D00F6B"/>
    <w:rsid w:val="00D02AED"/>
    <w:rsid w:val="00D075C9"/>
    <w:rsid w:val="00D14A5D"/>
    <w:rsid w:val="00D2140B"/>
    <w:rsid w:val="00D24120"/>
    <w:rsid w:val="00D52154"/>
    <w:rsid w:val="00D61550"/>
    <w:rsid w:val="00D658B2"/>
    <w:rsid w:val="00D76093"/>
    <w:rsid w:val="00D82292"/>
    <w:rsid w:val="00D8326A"/>
    <w:rsid w:val="00D8367A"/>
    <w:rsid w:val="00D97539"/>
    <w:rsid w:val="00DB537A"/>
    <w:rsid w:val="00DB6BC5"/>
    <w:rsid w:val="00DC57B3"/>
    <w:rsid w:val="00DD575A"/>
    <w:rsid w:val="00DE070A"/>
    <w:rsid w:val="00DE73CE"/>
    <w:rsid w:val="00DF2A68"/>
    <w:rsid w:val="00DF2D00"/>
    <w:rsid w:val="00DF7ADC"/>
    <w:rsid w:val="00E00F68"/>
    <w:rsid w:val="00E0279D"/>
    <w:rsid w:val="00E04BAA"/>
    <w:rsid w:val="00E176B2"/>
    <w:rsid w:val="00E24466"/>
    <w:rsid w:val="00E338C3"/>
    <w:rsid w:val="00E40814"/>
    <w:rsid w:val="00E41A0B"/>
    <w:rsid w:val="00E521E9"/>
    <w:rsid w:val="00E553FB"/>
    <w:rsid w:val="00E65E37"/>
    <w:rsid w:val="00E8237E"/>
    <w:rsid w:val="00E871A8"/>
    <w:rsid w:val="00EA197F"/>
    <w:rsid w:val="00EA51A3"/>
    <w:rsid w:val="00EB339A"/>
    <w:rsid w:val="00EB6053"/>
    <w:rsid w:val="00EB63FA"/>
    <w:rsid w:val="00EC161B"/>
    <w:rsid w:val="00ED39C1"/>
    <w:rsid w:val="00EE76AD"/>
    <w:rsid w:val="00F11748"/>
    <w:rsid w:val="00F12E2B"/>
    <w:rsid w:val="00F1443B"/>
    <w:rsid w:val="00F23934"/>
    <w:rsid w:val="00F242BD"/>
    <w:rsid w:val="00F32AEF"/>
    <w:rsid w:val="00F4208B"/>
    <w:rsid w:val="00F46648"/>
    <w:rsid w:val="00F716F8"/>
    <w:rsid w:val="00F81D26"/>
    <w:rsid w:val="00F8350A"/>
    <w:rsid w:val="00F84ADC"/>
    <w:rsid w:val="00F85EA9"/>
    <w:rsid w:val="00F874CD"/>
    <w:rsid w:val="00F91931"/>
    <w:rsid w:val="00F95A0B"/>
    <w:rsid w:val="00FA11D2"/>
    <w:rsid w:val="00FA6E98"/>
    <w:rsid w:val="00FB39AE"/>
    <w:rsid w:val="00FB6D52"/>
    <w:rsid w:val="00FC1707"/>
    <w:rsid w:val="00FC72F5"/>
    <w:rsid w:val="00FD1E05"/>
    <w:rsid w:val="00FD4372"/>
    <w:rsid w:val="00FD72F4"/>
    <w:rsid w:val="7B3FDAE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4C5E6"/>
  <w15:docId w15:val="{4B4DDB4D-A288-4128-A698-1225816F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81F"/>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81F"/>
    <w:rPr>
      <w:rFonts w:eastAsiaTheme="minorEastAsia"/>
      <w:lang w:eastAsia="mk-MK"/>
    </w:rPr>
  </w:style>
  <w:style w:type="paragraph" w:styleId="Footer">
    <w:name w:val="footer"/>
    <w:basedOn w:val="Normal"/>
    <w:link w:val="FooterChar"/>
    <w:unhideWhenUsed/>
    <w:rsid w:val="0037781F"/>
    <w:pPr>
      <w:tabs>
        <w:tab w:val="center" w:pos="4513"/>
        <w:tab w:val="right" w:pos="9026"/>
      </w:tabs>
      <w:spacing w:after="0" w:line="240" w:lineRule="auto"/>
    </w:pPr>
  </w:style>
  <w:style w:type="character" w:customStyle="1" w:styleId="FooterChar">
    <w:name w:val="Footer Char"/>
    <w:basedOn w:val="DefaultParagraphFont"/>
    <w:link w:val="Footer"/>
    <w:rsid w:val="0037781F"/>
    <w:rPr>
      <w:rFonts w:eastAsiaTheme="minorEastAsia"/>
      <w:lang w:eastAsia="mk-MK"/>
    </w:rPr>
  </w:style>
  <w:style w:type="table" w:styleId="TableGrid">
    <w:name w:val="Table Grid"/>
    <w:basedOn w:val="TableNormal"/>
    <w:uiPriority w:val="59"/>
    <w:rsid w:val="0037781F"/>
    <w:pPr>
      <w:spacing w:after="0" w:line="240" w:lineRule="auto"/>
    </w:pPr>
    <w:rPr>
      <w:rFonts w:eastAsiaTheme="minorEastAsia"/>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781F"/>
    <w:rPr>
      <w:color w:val="0000FF" w:themeColor="hyperlink"/>
      <w:u w:val="single"/>
    </w:rPr>
  </w:style>
  <w:style w:type="character" w:styleId="CommentReference">
    <w:name w:val="annotation reference"/>
    <w:basedOn w:val="DefaultParagraphFont"/>
    <w:uiPriority w:val="99"/>
    <w:semiHidden/>
    <w:unhideWhenUsed/>
    <w:rsid w:val="00090BFB"/>
    <w:rPr>
      <w:sz w:val="16"/>
      <w:szCs w:val="16"/>
    </w:rPr>
  </w:style>
  <w:style w:type="paragraph" w:styleId="CommentText">
    <w:name w:val="annotation text"/>
    <w:basedOn w:val="Normal"/>
    <w:link w:val="CommentTextChar"/>
    <w:uiPriority w:val="99"/>
    <w:unhideWhenUsed/>
    <w:rsid w:val="00090BFB"/>
    <w:pPr>
      <w:spacing w:line="240" w:lineRule="auto"/>
    </w:pPr>
    <w:rPr>
      <w:sz w:val="20"/>
      <w:szCs w:val="20"/>
    </w:rPr>
  </w:style>
  <w:style w:type="character" w:customStyle="1" w:styleId="CommentTextChar">
    <w:name w:val="Comment Text Char"/>
    <w:basedOn w:val="DefaultParagraphFont"/>
    <w:link w:val="CommentText"/>
    <w:uiPriority w:val="99"/>
    <w:rsid w:val="00090BFB"/>
    <w:rPr>
      <w:rFonts w:eastAsiaTheme="minorEastAsia"/>
      <w:sz w:val="20"/>
      <w:szCs w:val="20"/>
      <w:lang w:eastAsia="mk-MK"/>
    </w:rPr>
  </w:style>
  <w:style w:type="paragraph" w:styleId="CommentSubject">
    <w:name w:val="annotation subject"/>
    <w:basedOn w:val="CommentText"/>
    <w:next w:val="CommentText"/>
    <w:link w:val="CommentSubjectChar"/>
    <w:uiPriority w:val="99"/>
    <w:semiHidden/>
    <w:unhideWhenUsed/>
    <w:rsid w:val="00090BFB"/>
    <w:rPr>
      <w:b/>
      <w:bCs/>
    </w:rPr>
  </w:style>
  <w:style w:type="character" w:customStyle="1" w:styleId="CommentSubjectChar">
    <w:name w:val="Comment Subject Char"/>
    <w:basedOn w:val="CommentTextChar"/>
    <w:link w:val="CommentSubject"/>
    <w:uiPriority w:val="99"/>
    <w:semiHidden/>
    <w:rsid w:val="00090BFB"/>
    <w:rPr>
      <w:rFonts w:eastAsiaTheme="minorEastAsia"/>
      <w:b/>
      <w:bCs/>
      <w:sz w:val="20"/>
      <w:szCs w:val="20"/>
      <w:lang w:eastAsia="mk-MK"/>
    </w:rPr>
  </w:style>
  <w:style w:type="paragraph" w:styleId="BalloonText">
    <w:name w:val="Balloon Text"/>
    <w:basedOn w:val="Normal"/>
    <w:link w:val="BalloonTextChar"/>
    <w:uiPriority w:val="99"/>
    <w:semiHidden/>
    <w:unhideWhenUsed/>
    <w:rsid w:val="0009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BFB"/>
    <w:rPr>
      <w:rFonts w:ascii="Segoe UI" w:eastAsiaTheme="minorEastAsia" w:hAnsi="Segoe UI" w:cs="Segoe UI"/>
      <w:sz w:val="18"/>
      <w:szCs w:val="18"/>
      <w:lang w:eastAsia="mk-MK"/>
    </w:rPr>
  </w:style>
  <w:style w:type="paragraph" w:styleId="ListParagraph">
    <w:name w:val="List Paragraph"/>
    <w:basedOn w:val="Normal"/>
    <w:uiPriority w:val="34"/>
    <w:qFormat/>
    <w:rsid w:val="006C1330"/>
    <w:pPr>
      <w:ind w:left="720"/>
      <w:contextualSpacing/>
    </w:pPr>
  </w:style>
  <w:style w:type="character" w:styleId="FollowedHyperlink">
    <w:name w:val="FollowedHyperlink"/>
    <w:basedOn w:val="DefaultParagraphFont"/>
    <w:uiPriority w:val="99"/>
    <w:semiHidden/>
    <w:unhideWhenUsed/>
    <w:rsid w:val="00AF2113"/>
    <w:rPr>
      <w:color w:val="800080" w:themeColor="followedHyperlink"/>
      <w:u w:val="single"/>
    </w:rPr>
  </w:style>
  <w:style w:type="paragraph" w:styleId="Revision">
    <w:name w:val="Revision"/>
    <w:hidden/>
    <w:uiPriority w:val="99"/>
    <w:semiHidden/>
    <w:rsid w:val="00C957C6"/>
    <w:pPr>
      <w:spacing w:after="0" w:line="240" w:lineRule="auto"/>
    </w:pPr>
    <w:rPr>
      <w:rFonts w:eastAsiaTheme="minorEastAsia"/>
      <w:lang w:eastAsia="mk-MK"/>
    </w:rPr>
  </w:style>
  <w:style w:type="character" w:styleId="FootnoteReference">
    <w:name w:val="footnote reference"/>
    <w:basedOn w:val="DefaultParagraphFont"/>
    <w:uiPriority w:val="99"/>
    <w:semiHidden/>
    <w:unhideWhenUsed/>
    <w:rsid w:val="00307043"/>
    <w:rPr>
      <w:vertAlign w:val="superscript"/>
    </w:rPr>
  </w:style>
  <w:style w:type="character" w:customStyle="1" w:styleId="FootnoteTextChar">
    <w:name w:val="Footnote Text Char"/>
    <w:basedOn w:val="DefaultParagraphFont"/>
    <w:link w:val="FootnoteText"/>
    <w:uiPriority w:val="99"/>
    <w:rsid w:val="00307043"/>
    <w:rPr>
      <w:sz w:val="20"/>
      <w:szCs w:val="20"/>
    </w:rPr>
  </w:style>
  <w:style w:type="paragraph" w:styleId="FootnoteText">
    <w:name w:val="footnote text"/>
    <w:basedOn w:val="Normal"/>
    <w:link w:val="FootnoteTextChar"/>
    <w:uiPriority w:val="99"/>
    <w:unhideWhenUsed/>
    <w:rsid w:val="00307043"/>
    <w:pPr>
      <w:spacing w:after="0" w:line="240" w:lineRule="auto"/>
    </w:pPr>
    <w:rPr>
      <w:rFonts w:eastAsiaTheme="minorHAnsi"/>
      <w:sz w:val="20"/>
      <w:szCs w:val="20"/>
      <w:lang w:eastAsia="en-US"/>
    </w:rPr>
  </w:style>
  <w:style w:type="character" w:customStyle="1" w:styleId="FootnoteTextChar1">
    <w:name w:val="Footnote Text Char1"/>
    <w:basedOn w:val="DefaultParagraphFont"/>
    <w:uiPriority w:val="99"/>
    <w:semiHidden/>
    <w:rsid w:val="00307043"/>
    <w:rPr>
      <w:rFonts w:eastAsiaTheme="minorEastAsia"/>
      <w:sz w:val="20"/>
      <w:szCs w:val="20"/>
      <w:lang w:eastAsia="mk-MK"/>
    </w:rPr>
  </w:style>
  <w:style w:type="character" w:customStyle="1" w:styleId="shorttext">
    <w:name w:val="short_text"/>
    <w:basedOn w:val="DefaultParagraphFont"/>
    <w:rsid w:val="0076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0586">
      <w:bodyDiv w:val="1"/>
      <w:marLeft w:val="0"/>
      <w:marRight w:val="0"/>
      <w:marTop w:val="0"/>
      <w:marBottom w:val="0"/>
      <w:divBdr>
        <w:top w:val="none" w:sz="0" w:space="0" w:color="auto"/>
        <w:left w:val="none" w:sz="0" w:space="0" w:color="auto"/>
        <w:bottom w:val="none" w:sz="0" w:space="0" w:color="auto"/>
        <w:right w:val="none" w:sz="0" w:space="0" w:color="auto"/>
      </w:divBdr>
      <w:divsChild>
        <w:div w:id="264655249">
          <w:marLeft w:val="0"/>
          <w:marRight w:val="0"/>
          <w:marTop w:val="0"/>
          <w:marBottom w:val="0"/>
          <w:divBdr>
            <w:top w:val="none" w:sz="0" w:space="0" w:color="auto"/>
            <w:left w:val="none" w:sz="0" w:space="0" w:color="auto"/>
            <w:bottom w:val="none" w:sz="0" w:space="0" w:color="auto"/>
            <w:right w:val="none" w:sz="0" w:space="0" w:color="auto"/>
          </w:divBdr>
        </w:div>
        <w:div w:id="949121342">
          <w:marLeft w:val="0"/>
          <w:marRight w:val="0"/>
          <w:marTop w:val="0"/>
          <w:marBottom w:val="0"/>
          <w:divBdr>
            <w:top w:val="none" w:sz="0" w:space="0" w:color="auto"/>
            <w:left w:val="none" w:sz="0" w:space="0" w:color="auto"/>
            <w:bottom w:val="none" w:sz="0" w:space="0" w:color="auto"/>
            <w:right w:val="none" w:sz="0" w:space="0" w:color="auto"/>
          </w:divBdr>
        </w:div>
        <w:div w:id="266498940">
          <w:marLeft w:val="0"/>
          <w:marRight w:val="0"/>
          <w:marTop w:val="0"/>
          <w:marBottom w:val="0"/>
          <w:divBdr>
            <w:top w:val="none" w:sz="0" w:space="0" w:color="auto"/>
            <w:left w:val="none" w:sz="0" w:space="0" w:color="auto"/>
            <w:bottom w:val="none" w:sz="0" w:space="0" w:color="auto"/>
            <w:right w:val="none" w:sz="0" w:space="0" w:color="auto"/>
          </w:divBdr>
        </w:div>
        <w:div w:id="343367274">
          <w:marLeft w:val="0"/>
          <w:marRight w:val="0"/>
          <w:marTop w:val="0"/>
          <w:marBottom w:val="0"/>
          <w:divBdr>
            <w:top w:val="none" w:sz="0" w:space="0" w:color="auto"/>
            <w:left w:val="none" w:sz="0" w:space="0" w:color="auto"/>
            <w:bottom w:val="none" w:sz="0" w:space="0" w:color="auto"/>
            <w:right w:val="none" w:sz="0" w:space="0" w:color="auto"/>
          </w:divBdr>
        </w:div>
      </w:divsChild>
    </w:div>
    <w:div w:id="1044987796">
      <w:bodyDiv w:val="1"/>
      <w:marLeft w:val="0"/>
      <w:marRight w:val="0"/>
      <w:marTop w:val="0"/>
      <w:marBottom w:val="0"/>
      <w:divBdr>
        <w:top w:val="none" w:sz="0" w:space="0" w:color="auto"/>
        <w:left w:val="none" w:sz="0" w:space="0" w:color="auto"/>
        <w:bottom w:val="none" w:sz="0" w:space="0" w:color="auto"/>
        <w:right w:val="none" w:sz="0" w:space="0" w:color="auto"/>
      </w:divBdr>
    </w:div>
    <w:div w:id="19320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tmn.org/dobroupravljanje/du-analize/otvorenost-izvrsnih-vlasti-u-cg-i-regionu-2018-predlog-prakticne-politik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tmn.org/dobroupravljanje/du-analize/otvorenost-pravosuda-u-regionu-i-cg/" TargetMode="External"/><Relationship Id="rId4" Type="http://schemas.openxmlformats.org/officeDocument/2006/relationships/settings" Target="settings.xml"/><Relationship Id="rId9" Type="http://schemas.openxmlformats.org/officeDocument/2006/relationships/hyperlink" Target="https://www.cdtmn.org/dobroupravljanje/du-analize/otvorenost-parlamenata-u-crnoj-gor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udovi.me/podaci/sscg/dokumenta/5548.pdf" TargetMode="External"/><Relationship Id="rId1" Type="http://schemas.openxmlformats.org/officeDocument/2006/relationships/hyperlink" Target="http://www.otvoreniparlament.rs/istrazivan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DC41B-EA76-48B5-8826-D24D23E8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17</Pages>
  <Words>5009</Words>
  <Characters>28553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dc:creator>
  <cp:lastModifiedBy>Milena Gvozdenović</cp:lastModifiedBy>
  <cp:revision>282</cp:revision>
  <cp:lastPrinted>2018-10-31T10:11:00Z</cp:lastPrinted>
  <dcterms:created xsi:type="dcterms:W3CDTF">2017-06-22T19:16:00Z</dcterms:created>
  <dcterms:modified xsi:type="dcterms:W3CDTF">2018-11-27T13:45:00Z</dcterms:modified>
</cp:coreProperties>
</file>